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pPr>
      <w:r>
        <w:t xml:space="preserve"/>
      </w:r>
    </w:p>
    <w:p>
      <w:pPr>
        <w:spacing w:after="80" w:before="80"/>
      </w:pPr>
      <w:r>
        <w:t xml:space="preserve"/>
      </w:r>
    </w:p>
    <w:p>
      <w:pPr>
        <w:jc w:val="center"/>
      </w:pPr>
      <w:r>
        <w:rPr>
          <w:rFonts w:ascii="Arial" w:cs="Arial" w:eastAsia="Arial" w:hAnsi="Arial"/>
          <w:b/>
          <w:bCs/>
          <w:color w:val="888888"/>
          <w:spacing w:val="80"/>
          <w:sz w:val="20"/>
          <w:szCs w:val="20"/>
        </w:rPr>
        <w:t xml:space="preserve">VERANSTALTUNGSPROTOKOLL</w:t>
      </w:r>
    </w:p>
    <w:p>
      <w:pPr>
        <w:spacing w:after="80" w:before="80"/>
      </w:pPr>
      <w:r>
        <w:t xml:space="preserve"/>
      </w:r>
    </w:p>
    <w:p>
      <w:pPr>
        <w:spacing w:after="120" w:before="200"/>
        <w:jc w:val="center"/>
      </w:pPr>
      <w:r>
        <w:rPr>
          <w:rFonts w:ascii="Arial" w:cs="Arial" w:eastAsia="Arial" w:hAnsi="Arial"/>
          <w:b/>
          <w:bCs/>
          <w:color w:val="1F5C99"/>
          <w:sz w:val="40"/>
          <w:szCs w:val="40"/>
        </w:rPr>
        <w:t xml:space="preserve">CarbonCycleCultureClub (C4)</w:t>
      </w:r>
    </w:p>
    <w:p>
      <w:pPr>
        <w:spacing w:after="80" w:before="80"/>
        <w:jc w:val="center"/>
      </w:pPr>
      <w:r>
        <w:rPr>
          <w:rFonts w:ascii="Arial" w:cs="Arial" w:eastAsia="Arial" w:hAnsi="Arial"/>
          <w:i/>
          <w:iCs/>
          <w:color w:val="555555"/>
          <w:sz w:val="26"/>
          <w:szCs w:val="26"/>
        </w:rPr>
        <w:t xml:space="preserve">„Wann kommt die neue Infrastruktur für unsere Industrie?“</w:t>
      </w:r>
    </w:p>
    <w:p>
      <w:pPr>
        <w:spacing w:after="400" w:before="40"/>
        <w:jc w:val="center"/>
      </w:pPr>
      <w:r>
        <w:rPr>
          <w:rFonts w:ascii="Arial" w:cs="Arial" w:eastAsia="Arial" w:hAnsi="Arial"/>
          <w:color w:val="777777"/>
          <w:sz w:val="22"/>
          <w:szCs w:val="22"/>
        </w:rPr>
        <w:t xml:space="preserve">Wasserstoff · CO₂-Management · Energiespeicher · Höhenwindrad</w:t>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2600"/>
        <w:gridCol w:w="3400"/>
      </w:tblGrid>
      <w:tr>
        <w:tc>
          <w:tcPr>
            <w:tcW w:type="dxa" w:w="260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b/>
                <w:bCs/>
                <w:sz w:val="20"/>
                <w:szCs w:val="20"/>
              </w:rPr>
              <w:t xml:space="preserve">Veranstaltung</w:t>
            </w:r>
          </w:p>
        </w:tc>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CarbonCycleCultureClub (C4) – Forum Rathenau e.V.</w:t>
            </w:r>
          </w:p>
        </w:tc>
      </w:tr>
      <w:tr>
        <w:tc>
          <w:tcPr>
            <w:tcW w:type="dxa" w:w="260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b/>
                <w:bCs/>
                <w:sz w:val="20"/>
                <w:szCs w:val="20"/>
              </w:rPr>
              <w:t xml:space="preserve">Datum &amp; Zeit</w:t>
            </w:r>
          </w:p>
        </w:tc>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Donnerstag, 23. April 2026, 18:00 – ca. 21:00 Uhr</w:t>
            </w:r>
          </w:p>
        </w:tc>
      </w:tr>
      <w:tr>
        <w:tc>
          <w:tcPr>
            <w:tcW w:type="dxa" w:w="260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b/>
                <w:bCs/>
                <w:sz w:val="20"/>
                <w:szCs w:val="20"/>
              </w:rPr>
              <w:t xml:space="preserve">Ort</w:t>
            </w:r>
          </w:p>
        </w:tc>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Industrie- und Filmmuseum Bitterfeld-Wolfen</w:t>
            </w:r>
          </w:p>
        </w:tc>
      </w:tr>
      <w:tr>
        <w:tc>
          <w:tcPr>
            <w:tcW w:type="dxa" w:w="260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b/>
                <w:bCs/>
                <w:sz w:val="20"/>
                <w:szCs w:val="20"/>
              </w:rPr>
              <w:t xml:space="preserve">Format</w:t>
            </w:r>
          </w:p>
        </w:tc>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Hybrid (Präsenz + Livestream mit digitalem Diskussionsraum)</w:t>
            </w:r>
          </w:p>
        </w:tc>
      </w:tr>
      <w:tr>
        <w:tc>
          <w:tcPr>
            <w:tcW w:type="dxa" w:w="260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b/>
                <w:bCs/>
                <w:sz w:val="20"/>
                <w:szCs w:val="20"/>
              </w:rPr>
              <w:t xml:space="preserve">Veranstalter</w:t>
            </w:r>
          </w:p>
        </w:tc>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Forum Rathenau e.V. | Projektleitung: Thies Schröder</w:t>
            </w:r>
          </w:p>
        </w:tc>
      </w:tr>
      <w:tr>
        <w:tc>
          <w:tcPr>
            <w:tcW w:type="dxa" w:w="260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b/>
                <w:bCs/>
                <w:sz w:val="20"/>
                <w:szCs w:val="20"/>
              </w:rPr>
              <w:t xml:space="preserve">Nächste Veranstaltung</w:t>
            </w:r>
          </w:p>
        </w:tc>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21. Mai 2026 – Grüne Chemie (gleicher Standort)</w:t>
            </w:r>
          </w:p>
        </w:tc>
      </w:tr>
    </w:tbl>
    <w:p>
      <w:pPr>
        <w:spacing w:after="80" w:before="80"/>
      </w:pPr>
      <w:r>
        <w:t xml:space="preserve"/>
      </w:r>
    </w:p>
    <w:p>
      <w:pPr>
        <w:spacing w:after="80" w:before="80"/>
      </w:pPr>
      <w:r>
        <w:t xml:space="preserve"/>
      </w:r>
    </w:p>
    <w:p>
      <w:r>
        <w:br w:type="page"/>
      </w:r>
    </w:p>
    <w:p>
      <w:pPr>
        <w:pStyle w:val="Heading1"/>
        <w:pBdr>
          <w:bottom w:val="single" w:color="1F5C99" w:sz="8" w:space="4"/>
        </w:pBdr>
        <w:spacing w:after="160" w:before="360"/>
      </w:pPr>
      <w:r>
        <w:rPr>
          <w:rFonts w:ascii="Arial" w:cs="Arial" w:eastAsia="Arial" w:hAnsi="Arial"/>
          <w:b/>
          <w:bCs/>
          <w:color w:val="1F5C99"/>
          <w:sz w:val="28"/>
          <w:szCs w:val="28"/>
        </w:rPr>
        <w:t xml:space="preserve">1. Teilnehmende Personen</w:t>
      </w:r>
    </w:p>
    <w:p>
      <w:pPr>
        <w:spacing w:after="80" w:before="60"/>
        <w:jc w:val="both"/>
      </w:pPr>
      <w:r>
        <w:rPr>
          <w:rFonts w:ascii="Arial" w:cs="Arial" w:eastAsia="Arial" w:hAnsi="Arial"/>
          <w:sz w:val="22"/>
          <w:szCs w:val="22"/>
        </w:rPr>
        <w:t xml:space="preserve">Alle Namen wurden anhand der offiziellen Veranstaltungseinladung des Forum Rathenau e.V. verifiziert.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3900"/>
        <w:gridCol w:w="2760"/>
      </w:tblGrid>
      <w:tr>
        <w:tc>
          <w:tcPr>
            <w:tcW w:type="dxa" w:w="2700"/>
            <w:tcBorders>
              <w:top w:val="single" w:color="CCCCCC" w:sz="1"/>
              <w:left w:val="single" w:color="CCCCCC" w:sz="1"/>
              <w:bottom w:val="single" w:color="CCCCCC" w:sz="1"/>
              <w:right w:val="single" w:color="CCCCCC" w:sz="1"/>
            </w:tcBorders>
            <w:shd w:fill="1F5C99" w:val="clear"/>
            <w:tcMar>
              <w:top w:type="dxa" w:w="100"/>
              <w:left w:type="dxa" w:w="160"/>
              <w:bottom w:type="dxa" w:w="100"/>
              <w:right w:type="dxa" w:w="120"/>
            </w:tcMar>
          </w:tcPr>
          <w:p>
            <w:r>
              <w:rPr>
                <w:rFonts w:ascii="Arial" w:cs="Arial" w:eastAsia="Arial" w:hAnsi="Arial"/>
                <w:b/>
                <w:bCs/>
                <w:color w:val="FFFFFF"/>
                <w:sz w:val="20"/>
                <w:szCs w:val="20"/>
              </w:rPr>
              <w:t xml:space="preserve">Name</w:t>
            </w:r>
          </w:p>
        </w:tc>
        <w:tc>
          <w:tcPr>
            <w:tcW w:type="dxa" w:w="3900"/>
            <w:tcBorders>
              <w:top w:val="single" w:color="CCCCCC" w:sz="1"/>
              <w:left w:val="single" w:color="CCCCCC" w:sz="1"/>
              <w:bottom w:val="single" w:color="CCCCCC" w:sz="1"/>
              <w:right w:val="single" w:color="CCCCCC" w:sz="1"/>
            </w:tcBorders>
            <w:shd w:fill="1F5C99" w:val="clear"/>
            <w:tcMar>
              <w:top w:type="dxa" w:w="100"/>
              <w:left w:type="dxa" w:w="160"/>
              <w:bottom w:type="dxa" w:w="100"/>
              <w:right w:type="dxa" w:w="120"/>
            </w:tcMar>
          </w:tcPr>
          <w:p>
            <w:r>
              <w:rPr>
                <w:rFonts w:ascii="Arial" w:cs="Arial" w:eastAsia="Arial" w:hAnsi="Arial"/>
                <w:b/>
                <w:bCs/>
                <w:color w:val="FFFFFF"/>
                <w:sz w:val="20"/>
                <w:szCs w:val="20"/>
              </w:rPr>
              <w:t xml:space="preserve">Organisation / Funktion</w:t>
            </w:r>
          </w:p>
        </w:tc>
        <w:tc>
          <w:tcPr>
            <w:tcW w:type="dxa" w:w="2760"/>
            <w:tcBorders>
              <w:top w:val="single" w:color="CCCCCC" w:sz="1"/>
              <w:left w:val="single" w:color="CCCCCC" w:sz="1"/>
              <w:bottom w:val="single" w:color="CCCCCC" w:sz="1"/>
              <w:right w:val="single" w:color="CCCCCC" w:sz="1"/>
            </w:tcBorders>
            <w:shd w:fill="1F5C99" w:val="clear"/>
            <w:tcMar>
              <w:top w:type="dxa" w:w="100"/>
              <w:left w:type="dxa" w:w="160"/>
              <w:bottom w:type="dxa" w:w="100"/>
              <w:right w:type="dxa" w:w="120"/>
            </w:tcMar>
          </w:tcPr>
          <w:p>
            <w:r>
              <w:rPr>
                <w:rFonts w:ascii="Arial" w:cs="Arial" w:eastAsia="Arial" w:hAnsi="Arial"/>
                <w:b/>
                <w:bCs/>
                <w:color w:val="FFFFFF"/>
                <w:sz w:val="20"/>
                <w:szCs w:val="20"/>
              </w:rPr>
              <w:t xml:space="preserve">Themenschwerpunkt</w:t>
            </w:r>
          </w:p>
        </w:tc>
      </w:tr>
      <w:tr>
        <w:tc>
          <w:tcPr>
            <w:tcW w:type="dxa" w:w="27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r>
              <w:rPr>
                <w:rFonts w:ascii="Arial" w:cs="Arial" w:eastAsia="Arial" w:hAnsi="Arial"/>
                <w:b/>
                <w:bCs/>
                <w:sz w:val="20"/>
                <w:szCs w:val="20"/>
              </w:rPr>
              <w:t xml:space="preserve">Dr. Dirk Flandrich</w:t>
            </w:r>
          </w:p>
        </w:tc>
        <w:tc>
          <w:tcPr>
            <w:tcW w:type="dxa" w:w="39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r>
              <w:rPr>
                <w:rFonts w:ascii="Arial" w:cs="Arial" w:eastAsia="Arial" w:hAnsi="Arial"/>
                <w:sz w:val="20"/>
                <w:szCs w:val="20"/>
              </w:rPr>
              <w:t xml:space="preserve">GASCADE Gastransport GmbH
Geschäftsentwicklung &amp; Nachhaltigkeit</w:t>
            </w:r>
          </w:p>
        </w:tc>
        <w:tc>
          <w:tcPr>
            <w:tcW w:type="dxa" w:w="2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r>
              <w:rPr>
                <w:rFonts w:ascii="Arial" w:cs="Arial" w:eastAsia="Arial" w:hAnsi="Arial"/>
                <w:sz w:val="20"/>
                <w:szCs w:val="20"/>
              </w:rPr>
              <w:t xml:space="preserve">Wasserstoffinfrastruktur, Flow-Projekt, europ. H2-Kernnetz</w:t>
            </w:r>
          </w:p>
        </w:tc>
      </w:tr>
      <w:tr>
        <w:tc>
          <w:tcPr>
            <w:tcW w:type="dxa" w:w="2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20"/>
            </w:tcMar>
          </w:tcPr>
          <w:p>
            <w:r>
              <w:rPr>
                <w:rFonts w:ascii="Arial" w:cs="Arial" w:eastAsia="Arial" w:hAnsi="Arial"/>
                <w:b/>
                <w:bCs/>
                <w:sz w:val="20"/>
                <w:szCs w:val="20"/>
              </w:rPr>
              <w:t xml:space="preserve">Dr.-Ing. Fabian Neumann</w:t>
            </w:r>
          </w:p>
        </w:tc>
        <w:tc>
          <w:tcPr>
            <w:tcW w:type="dxa" w:w="39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20"/>
            </w:tcMar>
          </w:tcPr>
          <w:p>
            <w:r>
              <w:rPr>
                <w:rFonts w:ascii="Arial" w:cs="Arial" w:eastAsia="Arial" w:hAnsi="Arial"/>
                <w:sz w:val="20"/>
                <w:szCs w:val="20"/>
              </w:rPr>
              <w:t xml:space="preserve">Technische Universität Berlin
PyPSA-Entwickler, Forscher Energiesysteme</w:t>
            </w:r>
          </w:p>
        </w:tc>
        <w:tc>
          <w:tcPr>
            <w:tcW w:type="dxa" w:w="2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20"/>
            </w:tcMar>
          </w:tcPr>
          <w:p>
            <w:r>
              <w:rPr>
                <w:rFonts w:ascii="Arial" w:cs="Arial" w:eastAsia="Arial" w:hAnsi="Arial"/>
                <w:sz w:val="20"/>
                <w:szCs w:val="20"/>
              </w:rPr>
              <w:t xml:space="preserve">Europ. H2- &amp; CO₂-Infrastruktur, Systemmodellierung</w:t>
            </w:r>
          </w:p>
        </w:tc>
      </w:tr>
      <w:tr>
        <w:tc>
          <w:tcPr>
            <w:tcW w:type="dxa" w:w="27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r>
              <w:rPr>
                <w:rFonts w:ascii="Arial" w:cs="Arial" w:eastAsia="Arial" w:hAnsi="Arial"/>
                <w:b/>
                <w:bCs/>
                <w:sz w:val="20"/>
                <w:szCs w:val="20"/>
              </w:rPr>
              <w:t xml:space="preserve">Dr. Martin Chaumet</w:t>
            </w:r>
          </w:p>
        </w:tc>
        <w:tc>
          <w:tcPr>
            <w:tcW w:type="dxa" w:w="39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r>
              <w:rPr>
                <w:rFonts w:ascii="Arial" w:cs="Arial" w:eastAsia="Arial" w:hAnsi="Arial"/>
                <w:sz w:val="20"/>
                <w:szCs w:val="20"/>
              </w:rPr>
              <w:t xml:space="preserve">beventum GmbH (SPRIND-Tochter)
Scientific Director &amp; SPRIND Innovationsmanager</w:t>
            </w:r>
          </w:p>
        </w:tc>
        <w:tc>
          <w:tcPr>
            <w:tcW w:type="dxa" w:w="2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r>
              <w:rPr>
                <w:rFonts w:ascii="Arial" w:cs="Arial" w:eastAsia="Arial" w:hAnsi="Arial"/>
                <w:sz w:val="20"/>
                <w:szCs w:val="20"/>
              </w:rPr>
              <w:t xml:space="preserve">Höhenwindrad (365 m, Lausitz), dezentrale Stromerzeugung</w:t>
            </w:r>
          </w:p>
        </w:tc>
      </w:tr>
      <w:tr>
        <w:tc>
          <w:tcPr>
            <w:tcW w:type="dxa" w:w="2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20"/>
            </w:tcMar>
          </w:tcPr>
          <w:p>
            <w:r>
              <w:rPr>
                <w:rFonts w:ascii="Arial" w:cs="Arial" w:eastAsia="Arial" w:hAnsi="Arial"/>
                <w:b/>
                <w:bCs/>
                <w:sz w:val="20"/>
                <w:szCs w:val="20"/>
              </w:rPr>
              <w:t xml:space="preserve">Matthias Kunath</w:t>
            </w:r>
          </w:p>
        </w:tc>
        <w:tc>
          <w:tcPr>
            <w:tcW w:type="dxa" w:w="39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20"/>
            </w:tcMar>
          </w:tcPr>
          <w:p>
            <w:r>
              <w:rPr>
                <w:rFonts w:ascii="Arial" w:cs="Arial" w:eastAsia="Arial" w:hAnsi="Arial"/>
                <w:sz w:val="20"/>
                <w:szCs w:val="20"/>
              </w:rPr>
              <w:t xml:space="preserve">enviaTHERM GmbH
Geschäftsführer</w:t>
            </w:r>
          </w:p>
        </w:tc>
        <w:tc>
          <w:tcPr>
            <w:tcW w:type="dxa" w:w="2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20"/>
            </w:tcMar>
          </w:tcPr>
          <w:p>
            <w:r>
              <w:rPr>
                <w:rFonts w:ascii="Arial" w:cs="Arial" w:eastAsia="Arial" w:hAnsi="Arial"/>
                <w:sz w:val="20"/>
                <w:szCs w:val="20"/>
              </w:rPr>
              <w:t xml:space="preserve">Lokale Netzinfrastruktur, Wasserstoff, Batteriespeicher</w:t>
            </w:r>
          </w:p>
        </w:tc>
      </w:tr>
      <w:tr>
        <w:tc>
          <w:tcPr>
            <w:tcW w:type="dxa" w:w="27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r>
              <w:rPr>
                <w:rFonts w:ascii="Arial" w:cs="Arial" w:eastAsia="Arial" w:hAnsi="Arial"/>
                <w:b/>
                <w:bCs/>
                <w:sz w:val="20"/>
                <w:szCs w:val="20"/>
              </w:rPr>
              <w:t xml:space="preserve">Jörn-Heinrich Tobaben</w:t>
            </w:r>
          </w:p>
        </w:tc>
        <w:tc>
          <w:tcPr>
            <w:tcW w:type="dxa" w:w="39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r>
              <w:rPr>
                <w:rFonts w:ascii="Arial" w:cs="Arial" w:eastAsia="Arial" w:hAnsi="Arial"/>
                <w:sz w:val="20"/>
                <w:szCs w:val="20"/>
              </w:rPr>
              <w:t xml:space="preserve">Metropolregion Mitteldeutschland Management GmbH
Geschäftsführer</w:t>
            </w:r>
          </w:p>
        </w:tc>
        <w:tc>
          <w:tcPr>
            <w:tcW w:type="dxa" w:w="2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r>
              <w:rPr>
                <w:rFonts w:ascii="Arial" w:cs="Arial" w:eastAsia="Arial" w:hAnsi="Arial"/>
                <w:sz w:val="20"/>
                <w:szCs w:val="20"/>
              </w:rPr>
              <w:t xml:space="preserve">Wasserstoff Mitteldeutschland, CCUS, Strukturwandel</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3900"/>
        <w:gridCol w:w="2760"/>
      </w:tblGrid>
      <w:tr>
        <w:tc>
          <w:tcPr>
            <w:tcW w:type="dxa" w:w="2700"/>
            <w:tcBorders>
              <w:top w:val="single" w:color="CCCCCC" w:sz="1"/>
              <w:left w:val="single" w:color="CCCCCC" w:sz="1"/>
              <w:bottom w:val="single" w:color="CCCCCC" w:sz="1"/>
              <w:right w:val="single" w:color="CCCCCC" w:sz="1"/>
            </w:tcBorders>
            <w:shd w:fill="2C3E50" w:val="clear"/>
            <w:tcMar>
              <w:top w:type="dxa" w:w="80"/>
              <w:left w:type="dxa" w:w="160"/>
              <w:bottom w:type="dxa" w:w="80"/>
              <w:right w:type="dxa" w:w="120"/>
            </w:tcMar>
          </w:tcPr>
          <w:p>
            <w:r>
              <w:rPr>
                <w:rFonts w:ascii="Arial" w:cs="Arial" w:eastAsia="Arial" w:hAnsi="Arial"/>
                <w:b/>
                <w:bCs/>
                <w:color w:val="FFFFFF"/>
                <w:sz w:val="20"/>
                <w:szCs w:val="20"/>
              </w:rPr>
              <w:t xml:space="preserve">Moderation</w:t>
            </w:r>
          </w:p>
        </w:tc>
        <w:tc>
          <w:tcPr>
            <w:tcW w:type="dxa" w:w="3900"/>
            <w:tcBorders>
              <w:top w:val="single" w:color="CCCCCC" w:sz="1"/>
              <w:left w:val="single" w:color="CCCCCC" w:sz="1"/>
              <w:bottom w:val="single" w:color="CCCCCC" w:sz="1"/>
              <w:right w:val="single" w:color="CCCCCC" w:sz="1"/>
            </w:tcBorders>
            <w:shd w:fill="2C3E50" w:val="clear"/>
            <w:tcMar>
              <w:top w:type="dxa" w:w="80"/>
              <w:left w:type="dxa" w:w="160"/>
              <w:bottom w:type="dxa" w:w="80"/>
              <w:right w:type="dxa" w:w="120"/>
            </w:tcMar>
          </w:tcPr>
          <w:p>
            <w:r>
              <w:rPr>
                <w:rFonts w:ascii="Arial" w:cs="Arial" w:eastAsia="Arial" w:hAnsi="Arial"/>
                <w:b/>
                <w:bCs/>
                <w:color w:val="FFFFFF"/>
                <w:sz w:val="20"/>
                <w:szCs w:val="20"/>
              </w:rPr>
              <w:t xml:space="preserve">Organisation</w:t>
            </w:r>
          </w:p>
        </w:tc>
        <w:tc>
          <w:tcPr>
            <w:tcW w:type="dxa" w:w="2760"/>
            <w:tcBorders>
              <w:top w:val="single" w:color="CCCCCC" w:sz="1"/>
              <w:left w:val="single" w:color="CCCCCC" w:sz="1"/>
              <w:bottom w:val="single" w:color="CCCCCC" w:sz="1"/>
              <w:right w:val="single" w:color="CCCCCC" w:sz="1"/>
            </w:tcBorders>
            <w:shd w:fill="2C3E50" w:val="clear"/>
            <w:tcMar>
              <w:top w:type="dxa" w:w="80"/>
              <w:left w:type="dxa" w:w="160"/>
              <w:bottom w:type="dxa" w:w="80"/>
              <w:right w:type="dxa" w:w="120"/>
            </w:tcMar>
          </w:tcPr>
          <w:p>
            <w:r>
              <w:rPr>
                <w:rFonts w:ascii="Arial" w:cs="Arial" w:eastAsia="Arial" w:hAnsi="Arial"/>
                <w:b/>
                <w:bCs/>
                <w:color w:val="FFFFFF"/>
                <w:sz w:val="20"/>
                <w:szCs w:val="20"/>
              </w:rPr>
              <w:t xml:space="preserve">Funktion</w:t>
            </w:r>
          </w:p>
        </w:tc>
      </w:tr>
      <w:tr>
        <w:tc>
          <w:tcPr>
            <w:tcW w:type="dxa" w:w="27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r>
              <w:rPr>
                <w:rFonts w:ascii="Arial" w:cs="Arial" w:eastAsia="Arial" w:hAnsi="Arial"/>
                <w:b/>
                <w:bCs/>
                <w:sz w:val="20"/>
                <w:szCs w:val="20"/>
              </w:rPr>
              <w:t xml:space="preserve">Patrice Heine</w:t>
            </w:r>
          </w:p>
        </w:tc>
        <w:tc>
          <w:tcPr>
            <w:tcW w:type="dxa" w:w="39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r>
              <w:rPr>
                <w:rFonts w:ascii="Arial" w:cs="Arial" w:eastAsia="Arial" w:hAnsi="Arial"/>
                <w:sz w:val="20"/>
                <w:szCs w:val="20"/>
              </w:rPr>
              <w:t xml:space="preserve">Forum Rathenau e.V. / Chemiepark Bitterfeld-Wolfen</w:t>
            </w:r>
          </w:p>
        </w:tc>
        <w:tc>
          <w:tcPr>
            <w:tcW w:type="dxa" w:w="2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r>
              <w:rPr>
                <w:rFonts w:ascii="Arial" w:cs="Arial" w:eastAsia="Arial" w:hAnsi="Arial"/>
                <w:sz w:val="20"/>
                <w:szCs w:val="20"/>
              </w:rPr>
              <w:t xml:space="preserve">Vorstand Forum Rathenau &amp; GF Chemiepark BW</w:t>
            </w:r>
          </w:p>
        </w:tc>
      </w:tr>
      <w:tr>
        <w:tc>
          <w:tcPr>
            <w:tcW w:type="dxa" w:w="2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20"/>
            </w:tcMar>
          </w:tcPr>
          <w:p>
            <w:r>
              <w:rPr>
                <w:rFonts w:ascii="Arial" w:cs="Arial" w:eastAsia="Arial" w:hAnsi="Arial"/>
                <w:b/>
                <w:bCs/>
                <w:sz w:val="20"/>
                <w:szCs w:val="20"/>
              </w:rPr>
              <w:t xml:space="preserve">Elena Herzel</w:t>
            </w:r>
          </w:p>
        </w:tc>
        <w:tc>
          <w:tcPr>
            <w:tcW w:type="dxa" w:w="39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20"/>
            </w:tcMar>
          </w:tcPr>
          <w:p>
            <w:r>
              <w:rPr>
                <w:rFonts w:ascii="Arial" w:cs="Arial" w:eastAsia="Arial" w:hAnsi="Arial"/>
                <w:sz w:val="20"/>
                <w:szCs w:val="20"/>
              </w:rPr>
              <w:t xml:space="preserve">EWG Anhalt-Bitterfeld mbH</w:t>
            </w:r>
          </w:p>
        </w:tc>
        <w:tc>
          <w:tcPr>
            <w:tcW w:type="dxa" w:w="2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20"/>
            </w:tcMar>
          </w:tcPr>
          <w:p>
            <w:r>
              <w:rPr>
                <w:rFonts w:ascii="Arial" w:cs="Arial" w:eastAsia="Arial" w:hAnsi="Arial"/>
                <w:sz w:val="20"/>
                <w:szCs w:val="20"/>
              </w:rPr>
              <w:t xml:space="preserve">Geschäftsführerin</w:t>
            </w:r>
          </w:p>
        </w:tc>
      </w:tr>
    </w:tbl>
    <w:p>
      <w:pPr>
        <w:spacing w:after="80" w:before="80"/>
      </w:pPr>
      <w:r>
        <w:t xml:space="preserve"/>
      </w:r>
    </w:p>
    <w:p>
      <w:r>
        <w:br w:type="page"/>
      </w:r>
    </w:p>
    <w:p>
      <w:pPr>
        <w:pStyle w:val="Heading1"/>
        <w:pBdr>
          <w:bottom w:val="single" w:color="1F5C99" w:sz="8" w:space="4"/>
        </w:pBdr>
        <w:spacing w:after="160" w:before="360"/>
      </w:pPr>
      <w:r>
        <w:rPr>
          <w:rFonts w:ascii="Arial" w:cs="Arial" w:eastAsia="Arial" w:hAnsi="Arial"/>
          <w:b/>
          <w:bCs/>
          <w:color w:val="1F5C99"/>
          <w:sz w:val="28"/>
          <w:szCs w:val="28"/>
        </w:rPr>
        <w:t xml:space="preserve">2. Besprochene Themen – Übersicht</w:t>
      </w:r>
    </w:p>
    <w:p>
      <w:pPr>
        <w:spacing w:after="80" w:before="60"/>
        <w:jc w:val="both"/>
      </w:pPr>
      <w:r>
        <w:rPr>
          <w:rFonts w:ascii="Arial" w:cs="Arial" w:eastAsia="Arial" w:hAnsi="Arial"/>
          <w:sz w:val="22"/>
          <w:szCs w:val="22"/>
        </w:rPr>
        <w:t xml:space="preserve">Die Veranstaltung behandelte folgende Schwerpunktthemen in Form von Vorträgen und einer anschließenden Podiumsdiskussion mit Publikumsfragen:</w:t>
      </w:r>
    </w:p>
    <w:p>
      <w:pPr>
        <w:spacing w:after="80" w:before="80"/>
      </w:pPr>
      <w:r>
        <w:t xml:space="preserve"/>
      </w:r>
    </w:p>
    <w:p>
      <w:pPr>
        <w:pStyle w:val="ListParagraph"/>
        <w:numPr>
          <w:ilvl w:val="0"/>
          <w:numId w:val="2"/>
        </w:numPr>
        <w:spacing w:after="60" w:before="40"/>
      </w:pPr>
      <w:r>
        <w:rPr>
          <w:rFonts w:ascii="Arial" w:cs="Arial" w:eastAsia="Arial" w:hAnsi="Arial"/>
          <w:sz w:val="22"/>
          <w:szCs w:val="22"/>
        </w:rPr>
        <w:t xml:space="preserve">Wasserstoffinfrastruktur in Mittel- und Ostdeutschland (Flow-Projekt, Kernnetz, Verteilnetz)</w:t>
      </w:r>
    </w:p>
    <w:p>
      <w:pPr>
        <w:pStyle w:val="ListParagraph"/>
        <w:numPr>
          <w:ilvl w:val="0"/>
          <w:numId w:val="2"/>
        </w:numPr>
        <w:spacing w:after="60" w:before="40"/>
      </w:pPr>
      <w:r>
        <w:rPr>
          <w:rFonts w:ascii="Arial" w:cs="Arial" w:eastAsia="Arial" w:hAnsi="Arial"/>
          <w:sz w:val="22"/>
          <w:szCs w:val="22"/>
        </w:rPr>
        <w:t xml:space="preserve">CO₂-Management: Abscheidung, Transport, Nutzung und Speicherung (CCUS)</w:t>
      </w:r>
    </w:p>
    <w:p>
      <w:pPr>
        <w:pStyle w:val="ListParagraph"/>
        <w:numPr>
          <w:ilvl w:val="0"/>
          <w:numId w:val="2"/>
        </w:numPr>
        <w:spacing w:after="60" w:before="40"/>
      </w:pPr>
      <w:r>
        <w:rPr>
          <w:rFonts w:ascii="Arial" w:cs="Arial" w:eastAsia="Arial" w:hAnsi="Arial"/>
          <w:sz w:val="22"/>
          <w:szCs w:val="22"/>
        </w:rPr>
        <w:t xml:space="preserve">Energiespeicher: Preise, Technologien, wirtschaftliche Perspektiven</w:t>
      </w:r>
    </w:p>
    <w:p>
      <w:pPr>
        <w:pStyle w:val="ListParagraph"/>
        <w:numPr>
          <w:ilvl w:val="0"/>
          <w:numId w:val="2"/>
        </w:numPr>
        <w:spacing w:after="60" w:before="40"/>
      </w:pPr>
      <w:r>
        <w:rPr>
          <w:rFonts w:ascii="Arial" w:cs="Arial" w:eastAsia="Arial" w:hAnsi="Arial"/>
          <w:sz w:val="22"/>
          <w:szCs w:val="22"/>
        </w:rPr>
        <w:t xml:space="preserve">Höhenwindrad (SPRIND-Projekt): Innovation, Standortfaktoren, Flächeneffizienz</w:t>
      </w:r>
    </w:p>
    <w:p>
      <w:pPr>
        <w:pStyle w:val="ListParagraph"/>
        <w:numPr>
          <w:ilvl w:val="0"/>
          <w:numId w:val="2"/>
        </w:numPr>
        <w:spacing w:after="60" w:before="40"/>
      </w:pPr>
      <w:r>
        <w:rPr>
          <w:rFonts w:ascii="Arial" w:cs="Arial" w:eastAsia="Arial" w:hAnsi="Arial"/>
          <w:sz w:val="22"/>
          <w:szCs w:val="22"/>
        </w:rPr>
        <w:t xml:space="preserve">Systemmodellierung: Strom- vs. Wasserstoffnetz, CO₂-Netz – europäische Perspektive (TU Berlin)</w:t>
      </w:r>
    </w:p>
    <w:p>
      <w:pPr>
        <w:pStyle w:val="ListParagraph"/>
        <w:numPr>
          <w:ilvl w:val="0"/>
          <w:numId w:val="2"/>
        </w:numPr>
        <w:spacing w:after="60" w:before="40"/>
      </w:pPr>
      <w:r>
        <w:rPr>
          <w:rFonts w:ascii="Arial" w:cs="Arial" w:eastAsia="Arial" w:hAnsi="Arial"/>
          <w:sz w:val="22"/>
          <w:szCs w:val="22"/>
        </w:rPr>
        <w:t xml:space="preserve">Energieintensive Industrie in Deutschland: Wettbewerb, Resilienz, Standortfaktoren</w:t>
      </w:r>
    </w:p>
    <w:p>
      <w:pPr>
        <w:pStyle w:val="ListParagraph"/>
        <w:numPr>
          <w:ilvl w:val="0"/>
          <w:numId w:val="2"/>
        </w:numPr>
        <w:spacing w:after="60" w:before="40"/>
      </w:pPr>
      <w:r>
        <w:rPr>
          <w:rFonts w:ascii="Arial" w:cs="Arial" w:eastAsia="Arial" w:hAnsi="Arial"/>
          <w:sz w:val="22"/>
          <w:szCs w:val="22"/>
        </w:rPr>
        <w:t xml:space="preserve">Hühner-Ei-Problem: Infrastrukturausbau ohne gesicherte Nachfrage</w:t>
      </w:r>
    </w:p>
    <w:p>
      <w:pPr>
        <w:pStyle w:val="ListParagraph"/>
        <w:numPr>
          <w:ilvl w:val="0"/>
          <w:numId w:val="2"/>
        </w:numPr>
        <w:spacing w:after="60" w:before="40"/>
      </w:pPr>
      <w:r>
        <w:rPr>
          <w:rFonts w:ascii="Arial" w:cs="Arial" w:eastAsia="Arial" w:hAnsi="Arial"/>
          <w:sz w:val="22"/>
          <w:szCs w:val="22"/>
        </w:rPr>
        <w:t xml:space="preserve">Netzengpässe, Netzanfragen und Kapazitätsplanung</w:t>
      </w:r>
    </w:p>
    <w:p>
      <w:pPr>
        <w:spacing w:after="80" w:before="80"/>
      </w:pPr>
      <w:r>
        <w:t xml:space="preserve"/>
      </w:r>
    </w:p>
    <w:p>
      <w:r>
        <w:br w:type="page"/>
      </w:r>
    </w:p>
    <w:p>
      <w:pPr>
        <w:pStyle w:val="Heading1"/>
        <w:pBdr>
          <w:bottom w:val="single" w:color="1F5C99" w:sz="8" w:space="4"/>
        </w:pBdr>
        <w:spacing w:after="160" w:before="360"/>
      </w:pPr>
      <w:r>
        <w:rPr>
          <w:rFonts w:ascii="Arial" w:cs="Arial" w:eastAsia="Arial" w:hAnsi="Arial"/>
          <w:b/>
          <w:bCs/>
          <w:color w:val="1F5C99"/>
          <w:sz w:val="28"/>
          <w:szCs w:val="28"/>
        </w:rPr>
        <w:t xml:space="preserve">3. Inhaltliche Zusammenfassungen</w:t>
      </w:r>
    </w:p>
    <w:p>
      <w:pPr>
        <w:pStyle w:val="Heading2"/>
        <w:spacing w:after="100" w:before="280"/>
      </w:pPr>
      <w:r>
        <w:rPr>
          <w:rFonts w:ascii="Arial" w:cs="Arial" w:eastAsia="Arial" w:hAnsi="Arial"/>
          <w:b/>
          <w:bCs/>
          <w:color w:val="2C3E50"/>
          <w:sz w:val="24"/>
          <w:szCs w:val="24"/>
        </w:rPr>
        <w:t xml:space="preserve">3.1 Wasserstoffinfrastruktur – Projektstatus &amp; Herausforderungen</w:t>
      </w:r>
    </w:p>
    <w:p>
      <w:pPr>
        <w:spacing w:after="80" w:before="200"/>
      </w:pPr>
      <w:r>
        <w:rPr>
          <w:rFonts w:ascii="Arial" w:cs="Arial" w:eastAsia="Arial" w:hAnsi="Arial"/>
          <w:b/>
          <w:bCs/>
          <w:color w:val="34495E"/>
          <w:sz w:val="22"/>
          <w:szCs w:val="22"/>
        </w:rPr>
        <w:t xml:space="preserve">Projektstatus Wasserstoffinfrastruktur (Dr. Dirk Flandrich, GASCADE Gastransport GmbH)</w:t>
      </w:r>
    </w:p>
    <w:p>
      <w:pPr>
        <w:spacing w:after="80" w:before="60"/>
        <w:jc w:val="both"/>
      </w:pPr>
      <w:r>
        <w:rPr>
          <w:rFonts w:ascii="Arial" w:cs="Arial" w:eastAsia="Arial" w:hAnsi="Arial"/>
          <w:sz w:val="22"/>
          <w:szCs w:val="22"/>
        </w:rPr>
        <w:t xml:space="preserve">Dr. Dirk Flandrich (Geschäftsentwicklung &amp; Nachhaltigkeit, GASCADE Gastransport GmbH) präsentierte den aktuellen Stand. GASCADE betreibt ein rund 3.200 km langes Hochdruck-Pipelinenetz und ist einer der drei Träger des Flow-Projekts (gemeinsam mit ONTRAS und terranets bw).</w:t>
      </w:r>
    </w:p>
    <w:p>
      <w:pPr>
        <w:spacing w:after="80" w:before="80"/>
      </w:pPr>
      <w:r>
        <w:t xml:space="preserve"/>
      </w:r>
    </w:p>
    <w:p>
      <w:pPr>
        <w:spacing w:after="80" w:before="200"/>
      </w:pPr>
      <w:r>
        <w:rPr>
          <w:rFonts w:ascii="Arial" w:cs="Arial" w:eastAsia="Arial" w:hAnsi="Arial"/>
          <w:b/>
          <w:bCs/>
          <w:color w:val="34495E"/>
          <w:sz w:val="22"/>
          <w:szCs w:val="22"/>
        </w:rPr>
        <w:t xml:space="preserve">Flow-Projekt (europäisches Offshore-Kernnetz)</w:t>
      </w:r>
    </w:p>
    <w:p>
      <w:pPr>
        <w:spacing w:after="80" w:before="60"/>
        <w:jc w:val="both"/>
      </w:pPr>
      <w:r>
        <w:rPr>
          <w:rFonts w:ascii="Arial" w:cs="Arial" w:eastAsia="Arial" w:hAnsi="Arial"/>
          <w:sz w:val="22"/>
          <w:szCs w:val="22"/>
        </w:rPr>
        <w:t xml:space="preserve">Das sogenannte „Flow“-Projekt ist ein europäisches Verbundprojekt zur Schaffung einer Offshore-Wasserstoffinfrastruktur in der Nordsee. Es sieht Verbindungen zu Schottland, Dänemark und den Niederlanden vor. Das Projekt benötigt einen englischen Namen, da es bei der EU eingereicht wurde.</w:t>
      </w:r>
    </w:p>
    <w:p>
      <w:pPr>
        <w:spacing w:after="80" w:before="80"/>
      </w:pPr>
      <w:r>
        <w:t xml:space="preserve"/>
      </w:r>
    </w:p>
    <w:p>
      <w:pPr>
        <w:spacing w:after="80" w:before="200"/>
      </w:pPr>
      <w:r>
        <w:rPr>
          <w:rFonts w:ascii="Arial" w:cs="Arial" w:eastAsia="Arial" w:hAnsi="Arial"/>
          <w:b/>
          <w:bCs/>
          <w:color w:val="34495E"/>
          <w:sz w:val="22"/>
          <w:szCs w:val="22"/>
        </w:rPr>
        <w:t xml:space="preserve">H2-Startnetz und Zeitplan</w:t>
      </w:r>
    </w:p>
    <w:p>
      <w:pPr>
        <w:spacing w:after="80" w:before="60"/>
        <w:jc w:val="both"/>
      </w:pPr>
      <w:r>
        <w:rPr>
          <w:rFonts w:ascii="Arial" w:cs="Arial" w:eastAsia="Arial" w:hAnsi="Arial"/>
          <w:sz w:val="22"/>
          <w:szCs w:val="22"/>
        </w:rPr>
        <w:t xml:space="preserve">ONTRAS baut ein 600 km umfassendes H2-Startnetz für Ost- und Mitteldeutschland (größte Einzelinvestition in ONTRAS-Geschichte). Die vorgestellte Roadmap:</w:t>
      </w:r>
    </w:p>
    <w:p>
      <w:pPr>
        <w:pStyle w:val="ListParagraph"/>
        <w:numPr>
          <w:ilvl w:val="0"/>
          <w:numId w:val="2"/>
        </w:numPr>
        <w:spacing w:after="60" w:before="40"/>
      </w:pPr>
      <w:r>
        <w:rPr>
          <w:rFonts w:ascii="Arial" w:cs="Arial" w:eastAsia="Arial" w:hAnsi="Arial"/>
          <w:sz w:val="22"/>
          <w:szCs w:val="22"/>
        </w:rPr>
        <w:t xml:space="preserve">Dez. 2024: Erster Leitungsabschnitt (25 km, Energiepark Bad Lauchstädt–Leuna) in Betrieb genommen; TotalEnergies Raffinerie Leuna ist erster Wasserstoffkunde</w:t>
      </w:r>
    </w:p>
    <w:p>
      <w:pPr>
        <w:pStyle w:val="ListParagraph"/>
        <w:numPr>
          <w:ilvl w:val="0"/>
          <w:numId w:val="2"/>
        </w:numPr>
        <w:spacing w:after="60" w:before="40"/>
      </w:pPr>
      <w:r>
        <w:rPr>
          <w:rFonts w:ascii="Arial" w:cs="Arial" w:eastAsia="Arial" w:hAnsi="Arial"/>
          <w:sz w:val="22"/>
          <w:szCs w:val="22"/>
        </w:rPr>
        <w:t xml:space="preserve">2025: Kommerzielle Wasserstofflieferung nach Leuna (Q4/2025 geplant); Kernnetz durch Bundesnetzagentur genehmigt (Okt. 2024)</w:t>
      </w:r>
    </w:p>
    <w:p>
      <w:pPr>
        <w:pStyle w:val="ListParagraph"/>
        <w:numPr>
          <w:ilvl w:val="0"/>
          <w:numId w:val="2"/>
        </w:numPr>
        <w:spacing w:after="60" w:before="40"/>
      </w:pPr>
      <w:r>
        <w:rPr>
          <w:rFonts w:ascii="Arial" w:cs="Arial" w:eastAsia="Arial" w:hAnsi="Arial"/>
          <w:sz w:val="22"/>
          <w:szCs w:val="22"/>
        </w:rPr>
        <w:t xml:space="preserve">2028: Verknüpfung mit weiteren Kernnetz-Abschnitten, erste große Elektrolyseprojekte (≥ 100 MW, EU-Vorgabe), Rostock-Hafen-Anbindung</w:t>
      </w:r>
    </w:p>
    <w:p>
      <w:pPr>
        <w:pStyle w:val="ListParagraph"/>
        <w:numPr>
          <w:ilvl w:val="0"/>
          <w:numId w:val="2"/>
        </w:numPr>
        <w:spacing w:after="60" w:before="40"/>
      </w:pPr>
      <w:r>
        <w:rPr>
          <w:rFonts w:ascii="Arial" w:cs="Arial" w:eastAsia="Arial" w:hAnsi="Arial"/>
          <w:sz w:val="22"/>
          <w:szCs w:val="22"/>
        </w:rPr>
        <w:t xml:space="preserve">2029: Weitere Verbindungen (u.a. Luda–Sachsen, Verbindung Ludwigshafen), Leitungsabschnitt Salzgitter–Wefensleben (67 km Neubau)</w:t>
      </w:r>
    </w:p>
    <w:p>
      <w:pPr>
        <w:pStyle w:val="ListParagraph"/>
        <w:numPr>
          <w:ilvl w:val="0"/>
          <w:numId w:val="2"/>
        </w:numPr>
        <w:spacing w:after="60" w:before="40"/>
      </w:pPr>
      <w:r>
        <w:rPr>
          <w:rFonts w:ascii="Arial" w:cs="Arial" w:eastAsia="Arial" w:hAnsi="Arial"/>
          <w:sz w:val="22"/>
          <w:szCs w:val="22"/>
        </w:rPr>
        <w:t xml:space="preserve">2030+: Netzkopplung mit Polen und Tschechien – Polish-Baltic Hydrogen Corridor (NBHC) in Planung</w:t>
      </w:r>
    </w:p>
    <w:p>
      <w:pPr>
        <w:spacing w:after="80" w:before="80"/>
      </w:pPr>
      <w:r>
        <w:t xml:space="preserve"/>
      </w:r>
    </w:p>
    <w:p>
      <w:pPr>
        <w:spacing w:after="80" w:before="200"/>
      </w:pPr>
      <w:r>
        <w:rPr>
          <w:rFonts w:ascii="Arial" w:cs="Arial" w:eastAsia="Arial" w:hAnsi="Arial"/>
          <w:b/>
          <w:bCs/>
          <w:color w:val="34495E"/>
          <w:sz w:val="22"/>
          <w:szCs w:val="22"/>
        </w:rPr>
        <w:t xml:space="preserve">Gescheitertes Pilotprojekt „Green Bridge“</w:t>
      </w:r>
    </w:p>
    <w:p>
      <w:pPr>
        <w:spacing w:after="80" w:before="60"/>
        <w:jc w:val="both"/>
      </w:pPr>
      <w:r>
        <w:rPr>
          <w:rFonts w:ascii="Arial" w:cs="Arial" w:eastAsia="Arial" w:hAnsi="Arial"/>
          <w:sz w:val="22"/>
          <w:szCs w:val="22"/>
        </w:rPr>
        <w:t xml:space="preserve">Ein ambitioniertes regionales Wasserstoffprojekt (ca. 500 km Neugasnetz, 100 km Umstellung, eigene Elektrolyse) wurde vor ca. anderthalb Jahren aufgegeben. Hauptgrund: Der Wasserstoff war mit ca. 8,50 €/kg für Grünwasserstoff zwar technisch machbar, konnte jedoch am Markt keine Abnehmer finden – die Preisdifferenz zum Erdgas betrug 150–200 €/MWh. Auch die Investitionskosten für die Elektrolyse stiegen stark (von 1.500 auf über 200.000 €/Woche).</w:t>
      </w:r>
    </w:p>
    <w:p>
      <w:pPr>
        <w:spacing w:after="80" w:before="80"/>
      </w:pPr>
      <w:r>
        <w:t xml:space="preserve"/>
      </w:r>
    </w:p>
    <w:p>
      <w:pPr>
        <w:spacing w:after="80" w:before="200"/>
      </w:pPr>
      <w:r>
        <w:rPr>
          <w:rFonts w:ascii="Arial" w:cs="Arial" w:eastAsia="Arial" w:hAnsi="Arial"/>
          <w:b/>
          <w:bCs/>
          <w:color w:val="34495E"/>
          <w:sz w:val="22"/>
          <w:szCs w:val="22"/>
        </w:rPr>
        <w:t xml:space="preserve">Hühner-Ei-Dilemma bei der Wasserstoffinfrastruktur</w:t>
      </w:r>
    </w:p>
    <w:p>
      <w:pPr>
        <w:spacing w:after="80" w:before="60"/>
        <w:jc w:val="both"/>
      </w:pPr>
      <w:r>
        <w:rPr>
          <w:rFonts w:ascii="Arial" w:cs="Arial" w:eastAsia="Arial" w:hAnsi="Arial"/>
          <w:sz w:val="22"/>
          <w:szCs w:val="22"/>
        </w:rPr>
        <w:t xml:space="preserve">Ein zentrales Strukturproblem: Kein Netzbetreiber baut ein Wasserstoffnetz ohne gesicherte Kunden, kein Kunde schließt einen langfristigen Abnahmevertrag ohne bestehende Infrastruktur. Früher wurden Infrastrukturen über integrierte (staatliche oder kommunale) Unternehmen finanziert; heute sind Netz und Erzeugung entflochten und privatwirtschaftlich organisiert. Ein 20-Jahres-Abnahmevertrag über zweistellige Milliardensummen ist für keinen DAX-Konzern unterschreibbar.</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5C99" w:sz="6"/>
              <w:left w:val="single" w:color="1F5C99" w:sz="12"/>
              <w:bottom w:val="single" w:color="1F5C99" w:sz="2"/>
              <w:right w:val="single" w:color="1F5C99" w:sz="2"/>
            </w:tcBorders>
            <w:shd w:fill="EAF4FB" w:val="clear"/>
            <w:tcMar>
              <w:top w:type="dxa" w:w="100"/>
              <w:left w:type="dxa" w:w="200"/>
              <w:bottom w:type="dxa" w:w="100"/>
              <w:right w:type="dxa" w:w="160"/>
            </w:tcMar>
          </w:tcPr>
          <w:p>
            <w:r>
              <w:rPr>
                <w:rFonts w:ascii="Arial" w:cs="Arial" w:eastAsia="Arial" w:hAnsi="Arial"/>
                <w:b/>
                <w:bCs/>
                <w:color w:val="1F5C99"/>
                <w:sz w:val="21"/>
                <w:szCs w:val="21"/>
              </w:rPr>
              <w:t xml:space="preserve">Kernaussage: Preisniveau Wasserstoff</w:t>
            </w:r>
          </w:p>
          <w:p>
            <w:pPr>
              <w:spacing w:before="60"/>
              <w:jc w:val="both"/>
            </w:pPr>
            <w:r>
              <w:rPr>
                <w:rFonts w:ascii="Arial" w:cs="Arial" w:eastAsia="Arial" w:hAnsi="Arial"/>
                <w:sz w:val="21"/>
                <w:szCs w:val="21"/>
              </w:rPr>
              <w:t xml:space="preserve">Das alte Preisniveau (1,50–2,00 €/kg Dampfreformer mit Erdgas aus Russland) wird nicht zurückkehren. Grüner Wasserstoff zu 8,50 €/kg ist trotz hoher CO₂-Preise noch zu teuer. Realistisch sind mittel- bis langfristig Preise um 5–6 €/kg als Markteinstiegsniveau.</w:t>
            </w:r>
          </w:p>
        </w:tc>
      </w:tr>
    </w:tbl>
    <w:p>
      <w:pPr>
        <w:spacing w:after="80" w:before="80"/>
      </w:pPr>
      <w:r>
        <w:t xml:space="preserve"/>
      </w:r>
    </w:p>
    <w:p>
      <w:pPr>
        <w:spacing w:after="80" w:before="200"/>
      </w:pPr>
      <w:r>
        <w:rPr>
          <w:rFonts w:ascii="Arial" w:cs="Arial" w:eastAsia="Arial" w:hAnsi="Arial"/>
          <w:b/>
          <w:bCs/>
          <w:color w:val="34495E"/>
          <w:sz w:val="22"/>
          <w:szCs w:val="22"/>
        </w:rPr>
        <w:t xml:space="preserve">Verteilnetz-Problematik</w:t>
      </w:r>
    </w:p>
    <w:p>
      <w:pPr>
        <w:spacing w:after="80" w:before="60"/>
        <w:jc w:val="both"/>
      </w:pPr>
      <w:r>
        <w:rPr>
          <w:rFonts w:ascii="Arial" w:cs="Arial" w:eastAsia="Arial" w:hAnsi="Arial"/>
          <w:sz w:val="22"/>
          <w:szCs w:val="22"/>
        </w:rPr>
        <w:t xml:space="preserve">Verteilnetzbetreiber hofften lange, Wasserstoffnetze aus Erdgaserlösen quersubventionieren zu können – was politisch abgelehnt wurde. Jetzt wird erstmals ein kombinierter Netzentwicklungsplan (Erdgas + Wasserstoff) in Arbeitsgruppen erarbeitet. Der erste koordinierte Plan (Hamburg) soll nach den Sommerferien 2026 veröffentlicht werden.</w:t>
      </w:r>
    </w:p>
    <w:p>
      <w:pPr>
        <w:spacing w:after="80" w:before="80"/>
      </w:pPr>
      <w:r>
        <w:t xml:space="preserve"/>
      </w:r>
    </w:p>
    <w:p>
      <w:r>
        <w:br w:type="page"/>
      </w:r>
    </w:p>
    <w:p>
      <w:pPr>
        <w:pStyle w:val="Heading2"/>
        <w:spacing w:after="100" w:before="280"/>
      </w:pPr>
      <w:r>
        <w:rPr>
          <w:rFonts w:ascii="Arial" w:cs="Arial" w:eastAsia="Arial" w:hAnsi="Arial"/>
          <w:b/>
          <w:bCs/>
          <w:color w:val="2C3E50"/>
          <w:sz w:val="24"/>
          <w:szCs w:val="24"/>
        </w:rPr>
        <w:t xml:space="preserve">3.2 CO₂-Management (CCUS) – Abscheidung, Transport, Nutzung, Speicherung</w:t>
      </w:r>
    </w:p>
    <w:p>
      <w:pPr>
        <w:spacing w:after="80" w:before="60"/>
        <w:jc w:val="both"/>
      </w:pPr>
      <w:r>
        <w:rPr>
          <w:rFonts w:ascii="Arial" w:cs="Arial" w:eastAsia="Arial" w:hAnsi="Arial"/>
          <w:sz w:val="22"/>
          <w:szCs w:val="22"/>
        </w:rPr>
        <w:t xml:space="preserve">Das Thema CO₂-Management wurde als unverzichtbarer Baustein der Energiewende identifiziert. In Mitteldeutschland existieren zwei regionale Netzwerke: das Forum Rathenau (Gastgeber) und die CCUS-Initiative Ostdeutschland, die zusammenarbeiten.</w:t>
      </w:r>
    </w:p>
    <w:p>
      <w:pPr>
        <w:spacing w:after="80" w:before="80"/>
      </w:pPr>
      <w:r>
        <w:t xml:space="preserve"/>
      </w:r>
    </w:p>
    <w:p>
      <w:pPr>
        <w:spacing w:after="80" w:before="200"/>
      </w:pPr>
      <w:r>
        <w:rPr>
          <w:rFonts w:ascii="Arial" w:cs="Arial" w:eastAsia="Arial" w:hAnsi="Arial"/>
          <w:b/>
          <w:bCs/>
          <w:color w:val="34495E"/>
          <w:sz w:val="22"/>
          <w:szCs w:val="22"/>
        </w:rPr>
        <w:t xml:space="preserve">Europäische Systemmodellierung (Dr. Fabian Neumann, TU Berlin)</w:t>
      </w:r>
    </w:p>
    <w:p>
      <w:pPr>
        <w:spacing w:after="80" w:before="60"/>
        <w:jc w:val="both"/>
      </w:pPr>
      <w:r>
        <w:rPr>
          <w:rFonts w:ascii="Arial" w:cs="Arial" w:eastAsia="Arial" w:hAnsi="Arial"/>
          <w:sz w:val="22"/>
          <w:szCs w:val="22"/>
        </w:rPr>
        <w:t xml:space="preserve">Dr. Neumann präsentierte Ergebnisse aus dem Energiesystem-Modell PyPSA-Eur (Open-Source, Mitentwickler: Neumann), das mehrere Szenarien für ein klimaneutrales europäisches Energiesystem abbildet. Eine verwandte Studie wurde 2023 im Fachjournal „Joule“ veröffentlicht. Kernergebnisse:</w:t>
      </w:r>
    </w:p>
    <w:p>
      <w:pPr>
        <w:pStyle w:val="ListParagraph"/>
        <w:numPr>
          <w:ilvl w:val="0"/>
          <w:numId w:val="2"/>
        </w:numPr>
        <w:spacing w:after="60" w:before="40"/>
      </w:pPr>
      <w:r>
        <w:rPr>
          <w:rFonts w:ascii="Arial" w:cs="Arial" w:eastAsia="Arial" w:hAnsi="Arial"/>
          <w:sz w:val="22"/>
          <w:szCs w:val="22"/>
        </w:rPr>
        <w:t xml:space="preserve">Wasserstoffnetz hat für das Energiesystem einen höheren Wert als das CO₂-Netz (Systemkostensenkung: ~4,7 % vs. ~3 % für CO₂ allein; kombiniert: ~5,3 %).</w:t>
      </w:r>
    </w:p>
    <w:p>
      <w:pPr>
        <w:pStyle w:val="ListParagraph"/>
        <w:numPr>
          <w:ilvl w:val="0"/>
          <w:numId w:val="2"/>
        </w:numPr>
        <w:spacing w:after="60" w:before="40"/>
      </w:pPr>
      <w:r>
        <w:rPr>
          <w:rFonts w:ascii="Arial" w:cs="Arial" w:eastAsia="Arial" w:hAnsi="Arial"/>
          <w:sz w:val="22"/>
          <w:szCs w:val="22"/>
        </w:rPr>
        <w:t xml:space="preserve">Stromnetz hat relativ gesehen den größten Systembeitrag (6–8 % Kostensenkung), erfüllt aber eine andere Funktion: Ausgleich variabler Erzeugung, nicht Mengentransport.</w:t>
      </w:r>
    </w:p>
    <w:p>
      <w:pPr>
        <w:pStyle w:val="ListParagraph"/>
        <w:numPr>
          <w:ilvl w:val="0"/>
          <w:numId w:val="2"/>
        </w:numPr>
        <w:spacing w:after="60" w:before="40"/>
      </w:pPr>
      <w:r>
        <w:rPr>
          <w:rFonts w:ascii="Arial" w:cs="Arial" w:eastAsia="Arial" w:hAnsi="Arial"/>
          <w:sz w:val="22"/>
          <w:szCs w:val="22"/>
        </w:rPr>
        <w:t xml:space="preserve">H2-Netz und CO₂-Netz sind komplementär, nicht konkurrierend.</w:t>
      </w:r>
    </w:p>
    <w:p>
      <w:pPr>
        <w:pStyle w:val="ListParagraph"/>
        <w:numPr>
          <w:ilvl w:val="0"/>
          <w:numId w:val="2"/>
        </w:numPr>
        <w:spacing w:after="60" w:before="40"/>
      </w:pPr>
      <w:r>
        <w:rPr>
          <w:rFonts w:ascii="Arial" w:cs="Arial" w:eastAsia="Arial" w:hAnsi="Arial"/>
          <w:sz w:val="22"/>
          <w:szCs w:val="22"/>
        </w:rPr>
        <w:t xml:space="preserve">Die hohe Varianz zwischen Szenarien spricht dafür, Gemeinsamkeiten über viele Szenarien hinweg zu identifizieren statt auf ein einziges Zielbild zu setzen.</w:t>
      </w:r>
    </w:p>
    <w:p>
      <w:pPr>
        <w:spacing w:after="80" w:before="80"/>
      </w:pPr>
      <w:r>
        <w:t xml:space="preserve"/>
      </w:r>
    </w:p>
    <w:p>
      <w:pPr>
        <w:spacing w:after="80" w:before="200"/>
      </w:pPr>
      <w:r>
        <w:rPr>
          <w:rFonts w:ascii="Arial" w:cs="Arial" w:eastAsia="Arial" w:hAnsi="Arial"/>
          <w:b/>
          <w:bCs/>
          <w:color w:val="34495E"/>
          <w:sz w:val="22"/>
          <w:szCs w:val="22"/>
        </w:rPr>
        <w:t xml:space="preserve">CO₂-Flüsse und synthetische Kraftstoffe</w:t>
      </w:r>
    </w:p>
    <w:p>
      <w:pPr>
        <w:spacing w:after="80" w:before="60"/>
        <w:jc w:val="both"/>
      </w:pPr>
      <w:r>
        <w:rPr>
          <w:rFonts w:ascii="Arial" w:cs="Arial" w:eastAsia="Arial" w:hAnsi="Arial"/>
          <w:sz w:val="22"/>
          <w:szCs w:val="22"/>
        </w:rPr>
        <w:t xml:space="preserve">In Regionen mit starker Industriekonzentration (Ruhrgebiet, Mitteldeutschland) wird CO₂ aus Prozessemissionen (Stahlherstellung, Biomassekraftwerken, Direct Air Capture) abgeschieden und könnte z.B. nach Südspanien transportiert werden, wo es mit günstigem Grünwasserstoff zu synthetischen Kraftstoffen (Kerosin, Methanol) verarbeitet wird. Auch Offshore-CO₂-Sequestrierung (Nordsee) ist ein Szenariobaustein.</w:t>
      </w:r>
    </w:p>
    <w:p>
      <w:pPr>
        <w:spacing w:after="80" w:before="80"/>
      </w:pPr>
      <w:r>
        <w:t xml:space="preserve"/>
      </w:r>
    </w:p>
    <w:p>
      <w:pPr>
        <w:spacing w:after="80" w:before="200"/>
      </w:pPr>
      <w:r>
        <w:rPr>
          <w:rFonts w:ascii="Arial" w:cs="Arial" w:eastAsia="Arial" w:hAnsi="Arial"/>
          <w:b/>
          <w:bCs/>
          <w:color w:val="34495E"/>
          <w:sz w:val="22"/>
          <w:szCs w:val="22"/>
        </w:rPr>
        <w:t xml:space="preserve">CCUS-Initiative Ostdeutschland</w:t>
      </w:r>
    </w:p>
    <w:p>
      <w:pPr>
        <w:spacing w:after="80" w:before="60"/>
        <w:jc w:val="both"/>
      </w:pPr>
      <w:r>
        <w:rPr>
          <w:rFonts w:ascii="Arial" w:cs="Arial" w:eastAsia="Arial" w:hAnsi="Arial"/>
          <w:sz w:val="22"/>
          <w:szCs w:val="22"/>
        </w:rPr>
        <w:t xml:space="preserve">Die Initiative wurde von Jörn-Heinrich Tobaben (Europäische Metropolregion Mitteldeutschland) gemeinsam mit dem House of Transfer des Fraunhofer IWES gegründet und befindet sich in Ostdeutschland noch in der Aufbauphase. Im März 2026 wurde die Initiative mit ca. 690.000 € aus dem STARK-Programm gefördert. In Nordwestdeutschland (z.B. Total Energies, Schwenk) laufen bereits konkrete Leitungsbauprojekte. Die Botschaft an die Region: „Wir müssen uns sputen.“</w:t>
      </w:r>
    </w:p>
    <w:p>
      <w:pPr>
        <w:spacing w:after="80" w:before="80"/>
      </w:pPr>
      <w:r>
        <w:t xml:space="preserve"/>
      </w:r>
    </w:p>
    <w:p>
      <w:r>
        <w:br w:type="page"/>
      </w:r>
    </w:p>
    <w:p>
      <w:pPr>
        <w:pStyle w:val="Heading2"/>
        <w:spacing w:after="100" w:before="280"/>
      </w:pPr>
      <w:r>
        <w:rPr>
          <w:rFonts w:ascii="Arial" w:cs="Arial" w:eastAsia="Arial" w:hAnsi="Arial"/>
          <w:b/>
          <w:bCs/>
          <w:color w:val="2C3E50"/>
          <w:sz w:val="24"/>
          <w:szCs w:val="24"/>
        </w:rPr>
        <w:t xml:space="preserve">3.3 Energiespeicher – Preise, Technologien und wirtschaftliche Perspektiven</w:t>
      </w:r>
    </w:p>
    <w:p>
      <w:pPr>
        <w:spacing w:after="80" w:before="60"/>
        <w:jc w:val="both"/>
      </w:pPr>
      <w:r>
        <w:rPr>
          <w:rFonts w:ascii="Arial" w:cs="Arial" w:eastAsia="Arial" w:hAnsi="Arial"/>
          <w:sz w:val="22"/>
          <w:szCs w:val="22"/>
        </w:rPr>
        <w:t xml:space="preserve">Der Speicherbereich hat sich in der Diskussion als dynamischstes Thema erwiesen. Ein Paradigmenwechsel zeichnet sich ab: weg von der technischen hin zur wirtschaftlichen Betrachtung.</w:t>
      </w:r>
    </w:p>
    <w:p>
      <w:pPr>
        <w:spacing w:after="80" w:before="80"/>
      </w:pPr>
      <w:r>
        <w:t xml:space="preserve"/>
      </w:r>
    </w:p>
    <w:p>
      <w:pPr>
        <w:spacing w:after="80" w:before="200"/>
      </w:pPr>
      <w:r>
        <w:rPr>
          <w:rFonts w:ascii="Arial" w:cs="Arial" w:eastAsia="Arial" w:hAnsi="Arial"/>
          <w:b/>
          <w:bCs/>
          <w:color w:val="34495E"/>
          <w:sz w:val="22"/>
          <w:szCs w:val="22"/>
        </w:rPr>
        <w:t xml:space="preserve">Preisverfall und Marktpotenzial</w:t>
      </w:r>
    </w:p>
    <w:p>
      <w:pPr>
        <w:pStyle w:val="ListParagraph"/>
        <w:numPr>
          <w:ilvl w:val="0"/>
          <w:numId w:val="2"/>
        </w:numPr>
        <w:spacing w:after="60" w:before="40"/>
      </w:pPr>
      <w:r>
        <w:rPr>
          <w:rFonts w:ascii="Arial" w:cs="Arial" w:eastAsia="Arial" w:hAnsi="Arial"/>
          <w:sz w:val="22"/>
          <w:szCs w:val="22"/>
        </w:rPr>
        <w:t xml:space="preserve">Massive Preissenkungen bei stationären Batteriespeichern werden erwartet und sind in einigen Bereichen bereits zu beobachten.</w:t>
      </w:r>
    </w:p>
    <w:p>
      <w:pPr>
        <w:pStyle w:val="ListParagraph"/>
        <w:numPr>
          <w:ilvl w:val="0"/>
          <w:numId w:val="2"/>
        </w:numPr>
        <w:spacing w:after="60" w:before="40"/>
      </w:pPr>
      <w:r>
        <w:rPr>
          <w:rFonts w:ascii="Arial" w:cs="Arial" w:eastAsia="Arial" w:hAnsi="Arial"/>
          <w:sz w:val="22"/>
          <w:szCs w:val="22"/>
        </w:rPr>
        <w:t xml:space="preserve">Zielpreis für das Höhenwindrad-Konzept: ~60 €/MWh (inkl. Speicher, ohne Landkosten) – bei einer Stufenzahl von 50 Einheiten.</w:t>
      </w:r>
    </w:p>
    <w:p>
      <w:pPr>
        <w:pStyle w:val="ListParagraph"/>
        <w:numPr>
          <w:ilvl w:val="0"/>
          <w:numId w:val="2"/>
        </w:numPr>
        <w:spacing w:after="60" w:before="40"/>
      </w:pPr>
      <w:r>
        <w:rPr>
          <w:rFonts w:ascii="Arial" w:cs="Arial" w:eastAsia="Arial" w:hAnsi="Arial"/>
          <w:sz w:val="22"/>
          <w:szCs w:val="22"/>
        </w:rPr>
        <w:t xml:space="preserve">Derzeit noch ca. 800 GB Netzanfragen im System (das 10-Fache des aktuellen Netzstandes von 80 GB) – der Engpass ist nicht das Kapital, sondern die Netzkapazität.</w:t>
      </w:r>
    </w:p>
    <w:p>
      <w:pPr>
        <w:spacing w:after="80" w:before="80"/>
      </w:pPr>
      <w:r>
        <w:t xml:space="preserve"/>
      </w:r>
    </w:p>
    <w:p>
      <w:pPr>
        <w:spacing w:after="80" w:before="200"/>
      </w:pPr>
      <w:r>
        <w:rPr>
          <w:rFonts w:ascii="Arial" w:cs="Arial" w:eastAsia="Arial" w:hAnsi="Arial"/>
          <w:b/>
          <w:bCs/>
          <w:color w:val="34495E"/>
          <w:sz w:val="22"/>
          <w:szCs w:val="22"/>
        </w:rPr>
        <w:t xml:space="preserve">Technologiefokus: Wirtschaftlichkeit vor Technologie</w:t>
      </w:r>
    </w:p>
    <w:p>
      <w:pPr>
        <w:spacing w:after="80" w:before="60"/>
        <w:jc w:val="both"/>
      </w:pPr>
      <w:r>
        <w:rPr>
          <w:rFonts w:ascii="Arial" w:cs="Arial" w:eastAsia="Arial" w:hAnsi="Arial"/>
          <w:sz w:val="22"/>
          <w:szCs w:val="22"/>
        </w:rPr>
        <w:t xml:space="preserve">Neue Einreichungen bei SPRIND fragen nicht mehr nach Lithium vs. Natrium, sondern: Welcher Speicher ist pro Kilowattstunde in der Fertigung am günstigsten herzustellen? Diese Verschiebung im Denken wird als sehr positiv gewertet.</w:t>
      </w:r>
    </w:p>
    <w:p>
      <w:pPr>
        <w:spacing w:after="80" w:before="80"/>
      </w:pPr>
      <w:r>
        <w:t xml:space="preserve"/>
      </w:r>
    </w:p>
    <w:p>
      <w:pPr>
        <w:spacing w:after="80" w:before="200"/>
      </w:pPr>
      <w:r>
        <w:rPr>
          <w:rFonts w:ascii="Arial" w:cs="Arial" w:eastAsia="Arial" w:hAnsi="Arial"/>
          <w:b/>
          <w:bCs/>
          <w:color w:val="34495E"/>
          <w:sz w:val="22"/>
          <w:szCs w:val="22"/>
        </w:rPr>
        <w:t xml:space="preserve">Positionierung der Speicher im System</w:t>
      </w:r>
    </w:p>
    <w:p>
      <w:pPr>
        <w:spacing w:after="80" w:before="60"/>
        <w:jc w:val="both"/>
      </w:pPr>
      <w:r>
        <w:rPr>
          <w:rFonts w:ascii="Arial" w:cs="Arial" w:eastAsia="Arial" w:hAnsi="Arial"/>
          <w:sz w:val="22"/>
          <w:szCs w:val="22"/>
        </w:rPr>
        <w:t xml:space="preserve">Diskutiert wurden zwei grundsätzliche Ansätze:</w:t>
      </w:r>
    </w:p>
    <w:p>
      <w:pPr>
        <w:pStyle w:val="ListParagraph"/>
        <w:numPr>
          <w:ilvl w:val="0"/>
          <w:numId w:val="2"/>
        </w:numPr>
        <w:spacing w:after="60" w:before="40"/>
      </w:pPr>
      <w:r>
        <w:rPr>
          <w:rFonts w:ascii="Arial" w:cs="Arial" w:eastAsia="Arial" w:hAnsi="Arial"/>
          <w:sz w:val="22"/>
          <w:szCs w:val="22"/>
        </w:rPr>
        <w:t xml:space="preserve">Nah an der Erzeugung (z.B. direkt am Windpark oder PV-Feld)</w:t>
      </w:r>
    </w:p>
    <w:p>
      <w:pPr>
        <w:pStyle w:val="ListParagraph"/>
        <w:numPr>
          <w:ilvl w:val="0"/>
          <w:numId w:val="2"/>
        </w:numPr>
        <w:spacing w:after="60" w:before="40"/>
      </w:pPr>
      <w:r>
        <w:rPr>
          <w:rFonts w:ascii="Arial" w:cs="Arial" w:eastAsia="Arial" w:hAnsi="Arial"/>
          <w:sz w:val="22"/>
          <w:szCs w:val="22"/>
        </w:rPr>
        <w:t xml:space="preserve">Nah am Verbraucher (z.B. beim Industriekunden)</w:t>
      </w:r>
    </w:p>
    <w:p>
      <w:pPr>
        <w:spacing w:after="80" w:before="60"/>
        <w:jc w:val="both"/>
      </w:pPr>
      <w:r>
        <w:rPr>
          <w:rFonts w:ascii="Arial" w:cs="Arial" w:eastAsia="Arial" w:hAnsi="Arial"/>
          <w:sz w:val="22"/>
          <w:szCs w:val="22"/>
        </w:rPr>
        <w:t xml:space="preserve">Die Frage, an welcher konkreten Netzstation ein Batteriespeicher aufgestellt wird, ist aus heutiger ökonomischer Sicht noch verhältnismäßig nachrangig, solange netztechnische Grundvoraussetzungen erfüllt sind. Die Tendenz geht jedoch klar Richtung Erzeugungsnähe.</w:t>
      </w:r>
    </w:p>
    <w:p>
      <w:pPr>
        <w:spacing w:after="80" w:before="80"/>
      </w:pPr>
      <w:r>
        <w:t xml:space="preserve"/>
      </w:r>
    </w:p>
    <w:p>
      <w:pPr>
        <w:spacing w:after="80" w:before="200"/>
      </w:pPr>
      <w:r>
        <w:rPr>
          <w:rFonts w:ascii="Arial" w:cs="Arial" w:eastAsia="Arial" w:hAnsi="Arial"/>
          <w:b/>
          <w:bCs/>
          <w:color w:val="34495E"/>
          <w:sz w:val="22"/>
          <w:szCs w:val="22"/>
        </w:rPr>
        <w:t xml:space="preserve">Dunkelflautenproblematik</w:t>
      </w:r>
    </w:p>
    <w:p>
      <w:pPr>
        <w:spacing w:after="80" w:before="60"/>
        <w:jc w:val="both"/>
      </w:pPr>
      <w:r>
        <w:rPr>
          <w:rFonts w:ascii="Arial" w:cs="Arial" w:eastAsia="Arial" w:hAnsi="Arial"/>
          <w:sz w:val="22"/>
          <w:szCs w:val="22"/>
        </w:rPr>
        <w:t xml:space="preserve">Bei einem System mit hohem Höhenwindanteil reduziert sich die Variabilität der Einspeisung erheblich, da Windkraft in der Höhe auch während „Dunkelflautem“ (wenig Sonne und Wind in Bodennähe) noch Strom produziert. Kombiniert mit vorhandenen Wasserkraftwerken reichen dann auch kleinere Speicher aus.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5C99" w:sz="6"/>
              <w:left w:val="single" w:color="1F5C99" w:sz="12"/>
              <w:bottom w:val="single" w:color="1F5C99" w:sz="2"/>
              <w:right w:val="single" w:color="1F5C99" w:sz="2"/>
            </w:tcBorders>
            <w:shd w:fill="EAF4FB" w:val="clear"/>
            <w:tcMar>
              <w:top w:type="dxa" w:w="100"/>
              <w:left w:type="dxa" w:w="200"/>
              <w:bottom w:type="dxa" w:w="100"/>
              <w:right w:type="dxa" w:w="160"/>
            </w:tcMar>
          </w:tcPr>
          <w:p>
            <w:r>
              <w:rPr>
                <w:rFonts w:ascii="Arial" w:cs="Arial" w:eastAsia="Arial" w:hAnsi="Arial"/>
                <w:b/>
                <w:bCs/>
                <w:color w:val="1F5C99"/>
                <w:sz w:val="21"/>
                <w:szCs w:val="21"/>
              </w:rPr>
              <w:t xml:space="preserve">Kernaussage: Speicher</w:t>
            </w:r>
          </w:p>
          <w:p>
            <w:pPr>
              <w:spacing w:before="60"/>
              <w:jc w:val="both"/>
            </w:pPr>
            <w:r>
              <w:rPr>
                <w:rFonts w:ascii="Arial" w:cs="Arial" w:eastAsia="Arial" w:hAnsi="Arial"/>
                <w:sz w:val="21"/>
                <w:szCs w:val="21"/>
              </w:rPr>
              <w:t xml:space="preserve">Ein Speicher muss vor allem eines sein: billig. Die wirtschaftliche Betrachtung hat die technische Optimierung abgelöst – das ist der entscheidende Mentalitätswandel in der Branche.</w:t>
            </w:r>
          </w:p>
        </w:tc>
      </w:tr>
    </w:tbl>
    <w:p>
      <w:pPr>
        <w:spacing w:after="80" w:before="80"/>
      </w:pPr>
      <w:r>
        <w:t xml:space="preserve"/>
      </w:r>
    </w:p>
    <w:p>
      <w:r>
        <w:br w:type="page"/>
      </w:r>
    </w:p>
    <w:p>
      <w:pPr>
        <w:pStyle w:val="Heading2"/>
        <w:spacing w:after="100" w:before="280"/>
      </w:pPr>
      <w:r>
        <w:rPr>
          <w:rFonts w:ascii="Arial" w:cs="Arial" w:eastAsia="Arial" w:hAnsi="Arial"/>
          <w:b/>
          <w:bCs/>
          <w:color w:val="2C3E50"/>
          <w:sz w:val="24"/>
          <w:szCs w:val="24"/>
        </w:rPr>
        <w:t xml:space="preserve">3.4 Höhenwindrad (SPRIND-Sprunginnovation)</w:t>
      </w:r>
    </w:p>
    <w:p>
      <w:pPr>
        <w:spacing w:after="80" w:before="60"/>
        <w:jc w:val="both"/>
      </w:pPr>
      <w:r>
        <w:rPr>
          <w:rFonts w:ascii="Arial" w:cs="Arial" w:eastAsia="Arial" w:hAnsi="Arial"/>
          <w:sz w:val="22"/>
          <w:szCs w:val="22"/>
        </w:rPr>
        <w:t xml:space="preserve">Dr. Martin Chaumet (SPRIND / beventum GmbH) stellte das Konzept des Höhenwindrades vor – eine der bedeutendsten Sprunginnovationen, die die Bundesagentur für Sprunginnovationen aktuell betreut. Hinweis: Der Name wurde im Transkript als „Dr. Martin Chet“ fehlerhaft erkannt.</w:t>
      </w:r>
    </w:p>
    <w:p>
      <w:pPr>
        <w:spacing w:after="80" w:before="80"/>
      </w:pPr>
      <w:r>
        <w:t xml:space="preserve"/>
      </w:r>
    </w:p>
    <w:p>
      <w:pPr>
        <w:spacing w:after="80" w:before="200"/>
      </w:pPr>
      <w:r>
        <w:rPr>
          <w:rFonts w:ascii="Arial" w:cs="Arial" w:eastAsia="Arial" w:hAnsi="Arial"/>
          <w:b/>
          <w:bCs/>
          <w:color w:val="34495E"/>
          <w:sz w:val="22"/>
          <w:szCs w:val="22"/>
        </w:rPr>
        <w:t xml:space="preserve">Technisches Konzept</w:t>
      </w:r>
    </w:p>
    <w:p>
      <w:pPr>
        <w:pStyle w:val="ListParagraph"/>
        <w:numPr>
          <w:ilvl w:val="0"/>
          <w:numId w:val="2"/>
        </w:numPr>
        <w:spacing w:after="60" w:before="40"/>
      </w:pPr>
      <w:r>
        <w:rPr>
          <w:rFonts w:ascii="Arial" w:cs="Arial" w:eastAsia="Arial" w:hAnsi="Arial"/>
          <w:sz w:val="22"/>
          <w:szCs w:val="22"/>
        </w:rPr>
        <w:t xml:space="preserve">Turm bis zu 365 m Höhe (vergleichbar mit dem Berliner Fernsehturm)</w:t>
      </w:r>
    </w:p>
    <w:p>
      <w:pPr>
        <w:pStyle w:val="ListParagraph"/>
        <w:numPr>
          <w:ilvl w:val="0"/>
          <w:numId w:val="2"/>
        </w:numPr>
        <w:spacing w:after="60" w:before="40"/>
      </w:pPr>
      <w:r>
        <w:rPr>
          <w:rFonts w:ascii="Arial" w:cs="Arial" w:eastAsia="Arial" w:hAnsi="Arial"/>
          <w:sz w:val="22"/>
          <w:szCs w:val="22"/>
        </w:rPr>
        <w:t xml:space="preserve">Pilotstandort: Klettwitz bei Schipkau, Landkreis Oberspreewald-Lausitz (Brandenburg)</w:t>
      </w:r>
    </w:p>
    <w:p>
      <w:pPr>
        <w:pStyle w:val="ListParagraph"/>
        <w:numPr>
          <w:ilvl w:val="0"/>
          <w:numId w:val="2"/>
        </w:numPr>
        <w:spacing w:after="60" w:before="40"/>
      </w:pPr>
      <w:r>
        <w:rPr>
          <w:rFonts w:ascii="Arial" w:cs="Arial" w:eastAsia="Arial" w:hAnsi="Arial"/>
          <w:sz w:val="22"/>
          <w:szCs w:val="22"/>
        </w:rPr>
        <w:t xml:space="preserve">Gebaut von GICON (Großmann Ingenieur Consult, Dresden); beventum GmbH ist die SPRIND-Tochter</w:t>
      </w:r>
    </w:p>
    <w:p>
      <w:pPr>
        <w:pStyle w:val="ListParagraph"/>
        <w:numPr>
          <w:ilvl w:val="0"/>
          <w:numId w:val="2"/>
        </w:numPr>
        <w:spacing w:after="60" w:before="40"/>
      </w:pPr>
      <w:r>
        <w:rPr>
          <w:rFonts w:ascii="Arial" w:cs="Arial" w:eastAsia="Arial" w:hAnsi="Arial"/>
          <w:sz w:val="22"/>
          <w:szCs w:val="22"/>
        </w:rPr>
        <w:t xml:space="preserve">Idee stammt vom Leipziger Ingenieur Horst Bendix (1929–2023), der bis zu seinem Tod überzeugt davon war</w:t>
      </w:r>
    </w:p>
    <w:p>
      <w:pPr>
        <w:pStyle w:val="ListParagraph"/>
        <w:numPr>
          <w:ilvl w:val="0"/>
          <w:numId w:val="2"/>
        </w:numPr>
        <w:spacing w:after="60" w:before="40"/>
      </w:pPr>
      <w:r>
        <w:rPr>
          <w:rFonts w:ascii="Arial" w:cs="Arial" w:eastAsia="Arial" w:hAnsi="Arial"/>
          <w:sz w:val="22"/>
          <w:szCs w:val="22"/>
        </w:rPr>
        <w:t xml:space="preserve">Aktuelles Pilotprojekt: Mitte Mai 2026 wird die zweite Etage aufgesetzt (90 m Höhe erreicht)</w:t>
      </w:r>
    </w:p>
    <w:p>
      <w:pPr>
        <w:pStyle w:val="ListParagraph"/>
        <w:numPr>
          <w:ilvl w:val="0"/>
          <w:numId w:val="2"/>
        </w:numPr>
        <w:spacing w:after="60" w:before="40"/>
      </w:pPr>
      <w:r>
        <w:rPr>
          <w:rFonts w:ascii="Arial" w:cs="Arial" w:eastAsia="Arial" w:hAnsi="Arial"/>
          <w:sz w:val="22"/>
          <w:szCs w:val="22"/>
        </w:rPr>
        <w:t xml:space="preserve">Zweigeteilter Aufbau möglich: oben Windrad, unten PV – ergänzt sich jahreszeitlich</w:t>
      </w:r>
    </w:p>
    <w:p>
      <w:pPr>
        <w:pStyle w:val="ListParagraph"/>
        <w:numPr>
          <w:ilvl w:val="0"/>
          <w:numId w:val="2"/>
        </w:numPr>
        <w:spacing w:after="60" w:before="40"/>
      </w:pPr>
      <w:r>
        <w:rPr>
          <w:rFonts w:ascii="Arial" w:cs="Arial" w:eastAsia="Arial" w:hAnsi="Arial"/>
          <w:sz w:val="22"/>
          <w:szCs w:val="22"/>
        </w:rPr>
        <w:t xml:space="preserve">Volllaststunden: ca. doppelt so viele wie konventionelle Windkraftanlagen, da in Höhe höhere und konstantere Windgeschwindigkeiten</w:t>
      </w:r>
    </w:p>
    <w:p>
      <w:pPr>
        <w:spacing w:after="80" w:before="80"/>
      </w:pPr>
      <w:r>
        <w:t xml:space="preserve"/>
      </w:r>
    </w:p>
    <w:p>
      <w:pPr>
        <w:spacing w:after="80" w:before="200"/>
      </w:pPr>
      <w:r>
        <w:rPr>
          <w:rFonts w:ascii="Arial" w:cs="Arial" w:eastAsia="Arial" w:hAnsi="Arial"/>
          <w:b/>
          <w:bCs/>
          <w:color w:val="34495E"/>
          <w:sz w:val="22"/>
          <w:szCs w:val="22"/>
        </w:rPr>
        <w:t xml:space="preserve">Wirtschaftliche Perspektive</w:t>
      </w:r>
    </w:p>
    <w:p>
      <w:pPr>
        <w:spacing w:after="80" w:before="60"/>
        <w:jc w:val="both"/>
      </w:pPr>
      <w:r>
        <w:rPr>
          <w:rFonts w:ascii="Arial" w:cs="Arial" w:eastAsia="Arial" w:hAnsi="Arial"/>
          <w:sz w:val="22"/>
          <w:szCs w:val="22"/>
        </w:rPr>
        <w:t xml:space="preserve">Bei einer Stufenzahl von 50 Einheiten und weiterer Weiterentwicklung in der Fertigung und Montage wird eine Zielmarke von ca. 60 €/MWh (an Standort, ohne zusätzliche Landkosten) als erreichbar eingeschätzt. Der entscheidende Kostenfaktor ist nicht der Turm, sondern Fertigung und Montage.</w:t>
      </w:r>
    </w:p>
    <w:p>
      <w:pPr>
        <w:spacing w:after="80" w:before="80"/>
      </w:pPr>
      <w:r>
        <w:t xml:space="preserve"/>
      </w:r>
    </w:p>
    <w:p>
      <w:pPr>
        <w:spacing w:after="80" w:before="200"/>
      </w:pPr>
      <w:r>
        <w:rPr>
          <w:rFonts w:ascii="Arial" w:cs="Arial" w:eastAsia="Arial" w:hAnsi="Arial"/>
          <w:b/>
          <w:bCs/>
          <w:color w:val="34495E"/>
          <w:sz w:val="22"/>
          <w:szCs w:val="22"/>
        </w:rPr>
        <w:t xml:space="preserve">Strategische Vorteile</w:t>
      </w:r>
    </w:p>
    <w:p>
      <w:pPr>
        <w:pStyle w:val="ListParagraph"/>
        <w:numPr>
          <w:ilvl w:val="0"/>
          <w:numId w:val="2"/>
        </w:numPr>
        <w:spacing w:after="60" w:before="40"/>
      </w:pPr>
      <w:r>
        <w:rPr>
          <w:rFonts w:ascii="Arial" w:cs="Arial" w:eastAsia="Arial" w:hAnsi="Arial"/>
          <w:sz w:val="22"/>
          <w:szCs w:val="22"/>
        </w:rPr>
        <w:t xml:space="preserve">Flächeneffizienz: 60–70 % weniger Flächenverbrauch durch zweistöckigen Aufbau (Windrad + PV auf gleicher Fläche)</w:t>
      </w:r>
    </w:p>
    <w:p>
      <w:pPr>
        <w:pStyle w:val="ListParagraph"/>
        <w:numPr>
          <w:ilvl w:val="0"/>
          <w:numId w:val="2"/>
        </w:numPr>
        <w:spacing w:after="60" w:before="40"/>
      </w:pPr>
      <w:r>
        <w:rPr>
          <w:rFonts w:ascii="Arial" w:cs="Arial" w:eastAsia="Arial" w:hAnsi="Arial"/>
          <w:sz w:val="22"/>
          <w:szCs w:val="22"/>
        </w:rPr>
        <w:t xml:space="preserve">Dezentralisierung: Strom kann dort erzeugt werden, wo er verbraucht wird – Netzausbau wird reduziert</w:t>
      </w:r>
    </w:p>
    <w:p>
      <w:pPr>
        <w:pStyle w:val="ListParagraph"/>
        <w:numPr>
          <w:ilvl w:val="0"/>
          <w:numId w:val="2"/>
        </w:numPr>
        <w:spacing w:after="60" w:before="40"/>
      </w:pPr>
      <w:r>
        <w:rPr>
          <w:rFonts w:ascii="Arial" w:cs="Arial" w:eastAsia="Arial" w:hAnsi="Arial"/>
          <w:sz w:val="22"/>
          <w:szCs w:val="22"/>
        </w:rPr>
        <w:t xml:space="preserve">Industriestandorte als neue Standorte: Windkraft direkt auf Stahlwerks- oder Industriegelände möglich (Beispiel: Salzgitter hat zwei Windkraftanlagen ins Stahlwerk gebaut)</w:t>
      </w:r>
    </w:p>
    <w:p>
      <w:pPr>
        <w:pStyle w:val="ListParagraph"/>
        <w:numPr>
          <w:ilvl w:val="0"/>
          <w:numId w:val="2"/>
        </w:numPr>
        <w:spacing w:after="60" w:before="40"/>
      </w:pPr>
      <w:r>
        <w:rPr>
          <w:rFonts w:ascii="Arial" w:cs="Arial" w:eastAsia="Arial" w:hAnsi="Arial"/>
          <w:sz w:val="22"/>
          <w:szCs w:val="22"/>
        </w:rPr>
        <w:t xml:space="preserve">Soziale Akzeptanz: Standortunabhängigkeit ermöglicht Aufstellung dort, wo bisher keine Windkraft denkbar war</w:t>
      </w:r>
    </w:p>
    <w:p>
      <w:pPr>
        <w:pStyle w:val="ListParagraph"/>
        <w:numPr>
          <w:ilvl w:val="0"/>
          <w:numId w:val="2"/>
        </w:numPr>
        <w:spacing w:after="60" w:before="40"/>
      </w:pPr>
      <w:r>
        <w:rPr>
          <w:rFonts w:ascii="Arial" w:cs="Arial" w:eastAsia="Arial" w:hAnsi="Arial"/>
          <w:sz w:val="22"/>
          <w:szCs w:val="22"/>
        </w:rPr>
        <w:t xml:space="preserve">Flächenziele: Das 2,2%-Flächenziel könnte neu verhandelt werden, da deutlich weniger Fläche benötigt wird</w:t>
      </w:r>
    </w:p>
    <w:p>
      <w:pPr>
        <w:spacing w:after="80" w:before="80"/>
      </w:pPr>
      <w:r>
        <w:t xml:space="preserve"/>
      </w:r>
    </w:p>
    <w:p>
      <w:pPr>
        <w:spacing w:after="80" w:before="200"/>
      </w:pPr>
      <w:r>
        <w:rPr>
          <w:rFonts w:ascii="Arial" w:cs="Arial" w:eastAsia="Arial" w:hAnsi="Arial"/>
          <w:b/>
          <w:bCs/>
          <w:color w:val="34495E"/>
          <w:sz w:val="22"/>
          <w:szCs w:val="22"/>
        </w:rPr>
        <w:t xml:space="preserve">Bitkraftwerk-Konzept</w:t>
      </w:r>
    </w:p>
    <w:p>
      <w:pPr>
        <w:spacing w:after="80" w:before="60"/>
        <w:jc w:val="both"/>
      </w:pPr>
      <w:r>
        <w:rPr>
          <w:rFonts w:ascii="Arial" w:cs="Arial" w:eastAsia="Arial" w:hAnsi="Arial"/>
          <w:sz w:val="22"/>
          <w:szCs w:val="22"/>
        </w:rPr>
        <w:t xml:space="preserve">Ergänzend wurde das Konzept des „Bitkraftwerkes“ (Urheberschaft: Prof. Ossmann) erwähnt: Ein lokales System, das Strom direkt vor Ort erzeugt und verbraucht – z.B. für Schiffswerft oder Rechenzentrum. Damit können bis zu 90 % der Erzeugungskurve lokal abgedeckt werden.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5C99" w:sz="6"/>
              <w:left w:val="single" w:color="1F5C99" w:sz="12"/>
              <w:bottom w:val="single" w:color="1F5C99" w:sz="2"/>
              <w:right w:val="single" w:color="1F5C99" w:sz="2"/>
            </w:tcBorders>
            <w:shd w:fill="EAF4FB" w:val="clear"/>
            <w:tcMar>
              <w:top w:type="dxa" w:w="100"/>
              <w:left w:type="dxa" w:w="200"/>
              <w:bottom w:type="dxa" w:w="100"/>
              <w:right w:type="dxa" w:w="160"/>
            </w:tcMar>
          </w:tcPr>
          <w:p>
            <w:r>
              <w:rPr>
                <w:rFonts w:ascii="Arial" w:cs="Arial" w:eastAsia="Arial" w:hAnsi="Arial"/>
                <w:b/>
                <w:bCs/>
                <w:color w:val="1F5C99"/>
                <w:sz w:val="21"/>
                <w:szCs w:val="21"/>
              </w:rPr>
              <w:t xml:space="preserve">Kernaussage: Höhenwindrad</w:t>
            </w:r>
          </w:p>
          <w:p>
            <w:pPr>
              <w:spacing w:before="60"/>
              <w:jc w:val="both"/>
            </w:pPr>
            <w:r>
              <w:rPr>
                <w:rFonts w:ascii="Arial" w:cs="Arial" w:eastAsia="Arial" w:hAnsi="Arial"/>
                <w:sz w:val="21"/>
                <w:szCs w:val="21"/>
              </w:rPr>
              <w:t xml:space="preserve">Das Höhenwindrad kann dort stehen, wo bisher kein Windrad denkbar war – auch auf dem größten Stahlwerk Europas. Es ist eine ureine Forderung des Bundes für Naturschutz, Windkraft auf Industriestandorte zu bringen.</w:t>
            </w:r>
          </w:p>
        </w:tc>
      </w:tr>
    </w:tbl>
    <w:p>
      <w:pPr>
        <w:spacing w:after="80" w:before="80"/>
      </w:pPr>
      <w:r>
        <w:t xml:space="preserve"/>
      </w:r>
    </w:p>
    <w:p>
      <w:r>
        <w:br w:type="page"/>
      </w:r>
    </w:p>
    <w:p>
      <w:pPr>
        <w:pStyle w:val="Heading2"/>
        <w:spacing w:after="100" w:before="280"/>
      </w:pPr>
      <w:r>
        <w:rPr>
          <w:rFonts w:ascii="Arial" w:cs="Arial" w:eastAsia="Arial" w:hAnsi="Arial"/>
          <w:b/>
          <w:bCs/>
          <w:color w:val="2C3E50"/>
          <w:sz w:val="24"/>
          <w:szCs w:val="24"/>
        </w:rPr>
        <w:t xml:space="preserve">3.5 Energieintensive Industrie, Standortfaktoren &amp; Resilienz</w:t>
      </w:r>
    </w:p>
    <w:p>
      <w:pPr>
        <w:spacing w:after="80" w:before="200"/>
      </w:pPr>
      <w:r>
        <w:rPr>
          <w:rFonts w:ascii="Arial" w:cs="Arial" w:eastAsia="Arial" w:hAnsi="Arial"/>
          <w:b/>
          <w:bCs/>
          <w:color w:val="34495E"/>
          <w:sz w:val="22"/>
          <w:szCs w:val="22"/>
        </w:rPr>
        <w:t xml:space="preserve">Veränderung der Standortfaktoren</w:t>
      </w:r>
    </w:p>
    <w:p>
      <w:pPr>
        <w:spacing w:after="80" w:before="60"/>
        <w:jc w:val="both"/>
      </w:pPr>
      <w:r>
        <w:rPr>
          <w:rFonts w:ascii="Arial" w:cs="Arial" w:eastAsia="Arial" w:hAnsi="Arial"/>
          <w:sz w:val="22"/>
          <w:szCs w:val="22"/>
        </w:rPr>
        <w:t xml:space="preserve">Ein zentrales Argument der Diskussion: Die klassischen Standortfaktoren der Industrialisierung (Kohle, Kanäle, Eisenbahnnähe) haben sich fundamental gewandelt. Erneuerbare Energien entstehen dezentral und an anderen Orten als traditionelle Industriezentren. Dies erfordert ein Umdenken:</w:t>
      </w:r>
    </w:p>
    <w:p>
      <w:pPr>
        <w:pStyle w:val="ListParagraph"/>
        <w:numPr>
          <w:ilvl w:val="0"/>
          <w:numId w:val="2"/>
        </w:numPr>
        <w:spacing w:after="60" w:before="40"/>
      </w:pPr>
      <w:r>
        <w:rPr>
          <w:rFonts w:ascii="Arial" w:cs="Arial" w:eastAsia="Arial" w:hAnsi="Arial"/>
          <w:sz w:val="22"/>
          <w:szCs w:val="22"/>
        </w:rPr>
        <w:t xml:space="preserve">Nordsüddistanz: Windkraft im Norden, Industriezentren im Süden – damit ändert sich die Logik der Netzstruktur</w:t>
      </w:r>
    </w:p>
    <w:p>
      <w:pPr>
        <w:pStyle w:val="ListParagraph"/>
        <w:numPr>
          <w:ilvl w:val="0"/>
          <w:numId w:val="2"/>
        </w:numPr>
        <w:spacing w:after="60" w:before="40"/>
      </w:pPr>
      <w:r>
        <w:rPr>
          <w:rFonts w:ascii="Arial" w:cs="Arial" w:eastAsia="Arial" w:hAnsi="Arial"/>
          <w:sz w:val="22"/>
          <w:szCs w:val="22"/>
        </w:rPr>
        <w:t xml:space="preserve">Dezentralisierung statt Großblock: Kein Windpark hat die Größenordnung eines Atomkraftwerks – komplette Netzstrukturen müssen geändert werden</w:t>
      </w:r>
    </w:p>
    <w:p>
      <w:pPr>
        <w:pStyle w:val="ListParagraph"/>
        <w:numPr>
          <w:ilvl w:val="0"/>
          <w:numId w:val="2"/>
        </w:numPr>
        <w:spacing w:after="60" w:before="40"/>
      </w:pPr>
      <w:r>
        <w:rPr>
          <w:rFonts w:ascii="Arial" w:cs="Arial" w:eastAsia="Arial" w:hAnsi="Arial"/>
          <w:sz w:val="22"/>
          <w:szCs w:val="22"/>
        </w:rPr>
        <w:t xml:space="preserve">Soziale Pfadabhängigkeit: Bestehende Standorte werden aus sozialen Gründen (Arbeitsplätze, Geschichte) festgehalten, auch wenn sie ökonomisch suboptimal sind</w:t>
      </w:r>
    </w:p>
    <w:p>
      <w:pPr>
        <w:spacing w:after="80" w:before="80"/>
      </w:pPr>
      <w:r>
        <w:t xml:space="preserve"/>
      </w:r>
    </w:p>
    <w:p>
      <w:pPr>
        <w:spacing w:after="80" w:before="200"/>
      </w:pPr>
      <w:r>
        <w:rPr>
          <w:rFonts w:ascii="Arial" w:cs="Arial" w:eastAsia="Arial" w:hAnsi="Arial"/>
          <w:b/>
          <w:bCs/>
          <w:color w:val="34495E"/>
          <w:sz w:val="22"/>
          <w:szCs w:val="22"/>
        </w:rPr>
        <w:t xml:space="preserve">Kann energieintensive Industrie in Deutschland bleiben?</w:t>
      </w:r>
    </w:p>
    <w:p>
      <w:pPr>
        <w:spacing w:after="80" w:before="60"/>
        <w:jc w:val="both"/>
      </w:pPr>
      <w:r>
        <w:rPr>
          <w:rFonts w:ascii="Arial" w:cs="Arial" w:eastAsia="Arial" w:hAnsi="Arial"/>
          <w:sz w:val="22"/>
          <w:szCs w:val="22"/>
        </w:rPr>
        <w:t xml:space="preserve">Die Diskussion verlief differenziert:</w:t>
      </w:r>
    </w:p>
    <w:p>
      <w:pPr>
        <w:pStyle w:val="ListParagraph"/>
        <w:numPr>
          <w:ilvl w:val="0"/>
          <w:numId w:val="2"/>
        </w:numPr>
        <w:spacing w:after="60" w:before="40"/>
      </w:pPr>
      <w:r>
        <w:rPr>
          <w:rFonts w:ascii="Arial" w:cs="Arial" w:eastAsia="Arial" w:hAnsi="Arial"/>
          <w:sz w:val="22"/>
          <w:szCs w:val="22"/>
        </w:rPr>
        <w:t xml:space="preserve">Pessimistische Position (Prof. Fuest): Deutschland hat sich für teure Energie entschieden – die energieintensive Industrie hat langfristig keine Chance.</w:t>
      </w:r>
    </w:p>
    <w:p>
      <w:pPr>
        <w:pStyle w:val="ListParagraph"/>
        <w:numPr>
          <w:ilvl w:val="0"/>
          <w:numId w:val="2"/>
        </w:numPr>
        <w:spacing w:after="60" w:before="40"/>
      </w:pPr>
      <w:r>
        <w:rPr>
          <w:rFonts w:ascii="Arial" w:cs="Arial" w:eastAsia="Arial" w:hAnsi="Arial"/>
          <w:sz w:val="22"/>
          <w:szCs w:val="22"/>
        </w:rPr>
        <w:t xml:space="preserve">Differenzierte Position (Podium): Erste energieintensive Schritte der Wertschöpfungskette (z.B. Eisenschmelze) könnten in günstigere Energieregionen verlagert werden; hochwertige Weiterverarbeitung (z.B. Spezialstähle, Chemieveredelung) kann in Deutschland gehalten werden.</w:t>
      </w:r>
    </w:p>
    <w:p>
      <w:pPr>
        <w:pStyle w:val="ListParagraph"/>
        <w:numPr>
          <w:ilvl w:val="0"/>
          <w:numId w:val="2"/>
        </w:numPr>
        <w:spacing w:after="60" w:before="40"/>
      </w:pPr>
      <w:r>
        <w:rPr>
          <w:rFonts w:ascii="Arial" w:cs="Arial" w:eastAsia="Arial" w:hAnsi="Arial"/>
          <w:sz w:val="22"/>
          <w:szCs w:val="22"/>
        </w:rPr>
        <w:t xml:space="preserve">Strategieoption: Import energieintensiver Vorprodukte (Wasserstoff, Derivate, Halbzeuge) statt eigener Herstellung; flexible Weiterverarbeitung in Deutschland.</w:t>
      </w:r>
    </w:p>
    <w:p>
      <w:pPr>
        <w:pStyle w:val="ListParagraph"/>
        <w:numPr>
          <w:ilvl w:val="0"/>
          <w:numId w:val="2"/>
        </w:numPr>
        <w:spacing w:after="60" w:before="40"/>
      </w:pPr>
      <w:r>
        <w:rPr>
          <w:rFonts w:ascii="Arial" w:cs="Arial" w:eastAsia="Arial" w:hAnsi="Arial"/>
          <w:sz w:val="22"/>
          <w:szCs w:val="22"/>
        </w:rPr>
        <w:t xml:space="preserve">Beispiel Lithium: Ein Startup entwickelt einen flexiblen letzten Veredelungsschritt der Lithiumgewinnung, der nicht ortsgebunden ist – Möglichkeit zur Umkehrung der Wertschöpfungskette.</w:t>
      </w:r>
    </w:p>
    <w:p>
      <w:pPr>
        <w:spacing w:after="80" w:before="80"/>
      </w:pPr>
      <w:r>
        <w:t xml:space="preserve"/>
      </w:r>
    </w:p>
    <w:p>
      <w:pPr>
        <w:spacing w:after="80" w:before="200"/>
      </w:pPr>
      <w:r>
        <w:rPr>
          <w:rFonts w:ascii="Arial" w:cs="Arial" w:eastAsia="Arial" w:hAnsi="Arial"/>
          <w:b/>
          <w:bCs/>
          <w:color w:val="34495E"/>
          <w:sz w:val="22"/>
          <w:szCs w:val="22"/>
        </w:rPr>
        <w:t xml:space="preserve">Resilienz und Abhängigkeiten</w:t>
      </w:r>
    </w:p>
    <w:p>
      <w:pPr>
        <w:spacing w:after="80" w:before="60"/>
        <w:jc w:val="both"/>
      </w:pPr>
      <w:r>
        <w:rPr>
          <w:rFonts w:ascii="Arial" w:cs="Arial" w:eastAsia="Arial" w:hAnsi="Arial"/>
          <w:sz w:val="22"/>
          <w:szCs w:val="22"/>
        </w:rPr>
        <w:t xml:space="preserve">Das Thema Resilienz wurde als blinder Fleck der bisherigen Diskussion identifiziert. Wichtige Aussagen:</w:t>
      </w:r>
    </w:p>
    <w:p>
      <w:pPr>
        <w:pStyle w:val="ListParagraph"/>
        <w:numPr>
          <w:ilvl w:val="0"/>
          <w:numId w:val="2"/>
        </w:numPr>
        <w:spacing w:after="60" w:before="40"/>
      </w:pPr>
      <w:r>
        <w:rPr>
          <w:rFonts w:ascii="Arial" w:cs="Arial" w:eastAsia="Arial" w:hAnsi="Arial"/>
          <w:sz w:val="22"/>
          <w:szCs w:val="22"/>
        </w:rPr>
        <w:t xml:space="preserve">China produziert 95 % der weltweiten Antibiotikakapazität – ein Extrembeispiel strategischer Abhängigkeit</w:t>
      </w:r>
    </w:p>
    <w:p>
      <w:pPr>
        <w:pStyle w:val="ListParagraph"/>
        <w:numPr>
          <w:ilvl w:val="0"/>
          <w:numId w:val="2"/>
        </w:numPr>
        <w:spacing w:after="60" w:before="40"/>
      </w:pPr>
      <w:r>
        <w:rPr>
          <w:rFonts w:ascii="Arial" w:cs="Arial" w:eastAsia="Arial" w:hAnsi="Arial"/>
          <w:sz w:val="22"/>
          <w:szCs w:val="22"/>
        </w:rPr>
        <w:t xml:space="preserve">Indien und China dominieren die pharmazeutische Wirkstoffproduktion</w:t>
      </w:r>
    </w:p>
    <w:p>
      <w:pPr>
        <w:pStyle w:val="ListParagraph"/>
        <w:numPr>
          <w:ilvl w:val="0"/>
          <w:numId w:val="2"/>
        </w:numPr>
        <w:spacing w:after="60" w:before="40"/>
      </w:pPr>
      <w:r>
        <w:rPr>
          <w:rFonts w:ascii="Arial" w:cs="Arial" w:eastAsia="Arial" w:hAnsi="Arial"/>
          <w:sz w:val="22"/>
          <w:szCs w:val="22"/>
        </w:rPr>
        <w:t xml:space="preserve">Deutschland ist Exportweltmeister – ein Zurückziehen in Protektionismus wäre wirtschaftlich tödlich</w:t>
      </w:r>
    </w:p>
    <w:p>
      <w:pPr>
        <w:pStyle w:val="ListParagraph"/>
        <w:numPr>
          <w:ilvl w:val="0"/>
          <w:numId w:val="2"/>
        </w:numPr>
        <w:spacing w:after="60" w:before="40"/>
      </w:pPr>
      <w:r>
        <w:rPr>
          <w:rFonts w:ascii="Arial" w:cs="Arial" w:eastAsia="Arial" w:hAnsi="Arial"/>
          <w:sz w:val="22"/>
          <w:szCs w:val="22"/>
        </w:rPr>
        <w:t xml:space="preserve">Europas Denkebene: Europäische Resilienz als Kompromiss zwischen globalem Freihandel und nationaler Autarkie</w:t>
      </w:r>
    </w:p>
    <w:p>
      <w:pPr>
        <w:pStyle w:val="ListParagraph"/>
        <w:numPr>
          <w:ilvl w:val="0"/>
          <w:numId w:val="2"/>
        </w:numPr>
        <w:spacing w:after="60" w:before="40"/>
      </w:pPr>
      <w:r>
        <w:rPr>
          <w:rFonts w:ascii="Arial" w:cs="Arial" w:eastAsia="Arial" w:hAnsi="Arial"/>
          <w:sz w:val="22"/>
          <w:szCs w:val="22"/>
        </w:rPr>
        <w:t xml:space="preserve">Digitales Know-how und Verteidigung wurden als unverzichtbare Eigenkompetenz benannt</w:t>
      </w:r>
    </w:p>
    <w:p>
      <w:pPr>
        <w:spacing w:after="80" w:before="80"/>
      </w:pPr>
      <w:r>
        <w:t xml:space="preserve"/>
      </w:r>
    </w:p>
    <w:p>
      <w:pPr>
        <w:spacing w:after="80" w:before="200"/>
      </w:pPr>
      <w:r>
        <w:rPr>
          <w:rFonts w:ascii="Arial" w:cs="Arial" w:eastAsia="Arial" w:hAnsi="Arial"/>
          <w:b/>
          <w:bCs/>
          <w:color w:val="34495E"/>
          <w:sz w:val="22"/>
          <w:szCs w:val="22"/>
        </w:rPr>
        <w:t xml:space="preserve">Publikumsfrage: Primat der Wirtschaft</w:t>
      </w:r>
    </w:p>
    <w:p>
      <w:pPr>
        <w:spacing w:after="80" w:before="60"/>
        <w:jc w:val="both"/>
      </w:pPr>
      <w:r>
        <w:rPr>
          <w:rFonts w:ascii="Arial" w:cs="Arial" w:eastAsia="Arial" w:hAnsi="Arial"/>
          <w:sz w:val="22"/>
          <w:szCs w:val="22"/>
        </w:rPr>
        <w:t xml:space="preserve">Ein Vertreter der Arbeitgeber (Sachsen) kritisierte, dass Wirtschaft nur als Teilkomponente behandelt werde: „Wer soll das alles bezahlen?“ und verwies auf 3.000 Arbeitsplätze in energieintensiven Bereichen in der Region. Die Antwort aus dem Podium: Die Fragestellung war stets, wie eine transformierte Infrastruktur bezahlbar bleibt – das schließt Wertschöpfung und Arbeitsplätze ein. Das günstigste Gesamtsystem muss das Ziel sein, da globale Konkurrenten (China, USA) sich nicht an bestehenden Strukturen orientieren.</w:t>
      </w:r>
    </w:p>
    <w:p>
      <w:pPr>
        <w:spacing w:after="80" w:before="80"/>
      </w:pPr>
      <w:r>
        <w:t xml:space="preserve"/>
      </w:r>
    </w:p>
    <w:p>
      <w:r>
        <w:br w:type="page"/>
      </w:r>
    </w:p>
    <w:p>
      <w:pPr>
        <w:pStyle w:val="Heading2"/>
        <w:spacing w:after="100" w:before="280"/>
      </w:pPr>
      <w:r>
        <w:rPr>
          <w:rFonts w:ascii="Arial" w:cs="Arial" w:eastAsia="Arial" w:hAnsi="Arial"/>
          <w:b/>
          <w:bCs/>
          <w:color w:val="2C3E50"/>
          <w:sz w:val="24"/>
          <w:szCs w:val="24"/>
        </w:rPr>
        <w:t xml:space="preserve">3.6 Netzengpässe und Kapazitätsplanung</w:t>
      </w:r>
    </w:p>
    <w:p>
      <w:pPr>
        <w:spacing w:after="80" w:before="200"/>
      </w:pPr>
      <w:r>
        <w:rPr>
          <w:rFonts w:ascii="Arial" w:cs="Arial" w:eastAsia="Arial" w:hAnsi="Arial"/>
          <w:b/>
          <w:bCs/>
          <w:color w:val="34495E"/>
          <w:sz w:val="22"/>
          <w:szCs w:val="22"/>
        </w:rPr>
        <w:t xml:space="preserve">Aktuelle Lage: Verstopftes Netz</w:t>
      </w:r>
    </w:p>
    <w:p>
      <w:pPr>
        <w:spacing w:after="80" w:before="60"/>
        <w:jc w:val="both"/>
      </w:pPr>
      <w:r>
        <w:rPr>
          <w:rFonts w:ascii="Arial" w:cs="Arial" w:eastAsia="Arial" w:hAnsi="Arial"/>
          <w:sz w:val="22"/>
          <w:szCs w:val="22"/>
        </w:rPr>
        <w:t xml:space="preserve">Das Stromnetz in Ostdeutschland ist derzeit überlastet durch Einspeiseanfragen. Zum Vergleich: Vor wenigen Jahren lagen die Netzanfragen bei 80 GB, heute bei 800 GB – das Zehnfache. Der Engpass ist nicht das Investitionskapital, sondern die physische Kapazität des Netzes.</w:t>
      </w:r>
    </w:p>
    <w:p>
      <w:pPr>
        <w:spacing w:after="80" w:before="80"/>
      </w:pPr>
      <w:r>
        <w:t xml:space="preserve"/>
      </w:r>
    </w:p>
    <w:p>
      <w:pPr>
        <w:spacing w:after="80" w:before="200"/>
      </w:pPr>
      <w:r>
        <w:rPr>
          <w:rFonts w:ascii="Arial" w:cs="Arial" w:eastAsia="Arial" w:hAnsi="Arial"/>
          <w:b/>
          <w:bCs/>
          <w:color w:val="34495E"/>
          <w:sz w:val="22"/>
          <w:szCs w:val="22"/>
        </w:rPr>
        <w:t xml:space="preserve">Regionale Unterschiede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5C99" w:val="clear"/>
            <w:tcMar>
              <w:top w:type="dxa" w:w="80"/>
              <w:left w:type="dxa" w:w="140"/>
              <w:bottom w:type="dxa" w:w="80"/>
              <w:right w:type="dxa" w:w="100"/>
            </w:tcMar>
          </w:tcPr>
          <w:p>
            <w:r>
              <w:rPr>
                <w:rFonts w:ascii="Arial" w:cs="Arial" w:eastAsia="Arial" w:hAnsi="Arial"/>
                <w:b/>
                <w:bCs/>
                <w:color w:val="FFFFFF"/>
                <w:sz w:val="20"/>
                <w:szCs w:val="20"/>
              </w:rPr>
              <w:t xml:space="preserve">Bundesland</w:t>
            </w:r>
          </w:p>
        </w:tc>
        <w:tc>
          <w:tcPr>
            <w:tcW w:type="dxa" w:w="3120"/>
            <w:tcBorders>
              <w:top w:val="single" w:color="CCCCCC" w:sz="1"/>
              <w:left w:val="single" w:color="CCCCCC" w:sz="1"/>
              <w:bottom w:val="single" w:color="CCCCCC" w:sz="1"/>
              <w:right w:val="single" w:color="CCCCCC" w:sz="1"/>
            </w:tcBorders>
            <w:shd w:fill="1F5C99" w:val="clear"/>
            <w:tcMar>
              <w:top w:type="dxa" w:w="80"/>
              <w:left w:type="dxa" w:w="140"/>
              <w:bottom w:type="dxa" w:w="80"/>
              <w:right w:type="dxa" w:w="100"/>
            </w:tcMar>
          </w:tcPr>
          <w:p>
            <w:r>
              <w:rPr>
                <w:rFonts w:ascii="Arial" w:cs="Arial" w:eastAsia="Arial" w:hAnsi="Arial"/>
                <w:b/>
                <w:bCs/>
                <w:color w:val="FFFFFF"/>
                <w:sz w:val="20"/>
                <w:szCs w:val="20"/>
              </w:rPr>
              <w:t xml:space="preserve">Grünstrom / Netzabsatz</w:t>
            </w:r>
          </w:p>
        </w:tc>
        <w:tc>
          <w:tcPr>
            <w:tcW w:type="dxa" w:w="3120"/>
            <w:tcBorders>
              <w:top w:val="single" w:color="CCCCCC" w:sz="1"/>
              <w:left w:val="single" w:color="CCCCCC" w:sz="1"/>
              <w:bottom w:val="single" w:color="CCCCCC" w:sz="1"/>
              <w:right w:val="single" w:color="CCCCCC" w:sz="1"/>
            </w:tcBorders>
            <w:shd w:fill="1F5C99" w:val="clear"/>
            <w:tcMar>
              <w:top w:type="dxa" w:w="80"/>
              <w:left w:type="dxa" w:w="140"/>
              <w:bottom w:type="dxa" w:w="80"/>
              <w:right w:type="dxa" w:w="100"/>
            </w:tcMar>
          </w:tcPr>
          <w:p>
            <w:r>
              <w:rPr>
                <w:rFonts w:ascii="Arial" w:cs="Arial" w:eastAsia="Arial" w:hAnsi="Arial"/>
                <w:b/>
                <w:bCs/>
                <w:color w:val="FFFFFF"/>
                <w:sz w:val="20"/>
                <w:szCs w:val="20"/>
              </w:rPr>
              <w:t xml:space="preserve">Implikation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b/>
                <w:bCs/>
                <w:sz w:val="20"/>
                <w:szCs w:val="20"/>
              </w:rPr>
              <w:t xml:space="preserve">Brandenburg</w:t>
            </w:r>
          </w:p>
        </w:tc>
        <w:tc>
          <w:tcPr>
            <w:tcW w:type="dxa" w:w="312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350 %</w:t>
            </w:r>
          </w:p>
        </w:tc>
        <w:tc>
          <w:tcPr>
            <w:tcW w:type="dxa" w:w="312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Massiver Überschuss, hoher Handlungsdruck</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00"/>
            </w:tcMar>
          </w:tcPr>
          <w:p>
            <w:r>
              <w:rPr>
                <w:rFonts w:ascii="Arial" w:cs="Arial" w:eastAsia="Arial" w:hAnsi="Arial"/>
                <w:b/>
                <w:bCs/>
                <w:sz w:val="20"/>
                <w:szCs w:val="20"/>
              </w:rPr>
              <w:t xml:space="preserve">Sachsen-Anhalt / MI-Netz</w:t>
            </w:r>
          </w:p>
        </w:tc>
        <w:tc>
          <w:tcPr>
            <w:tcW w:type="dxa" w:w="312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00"/>
            </w:tcMar>
          </w:tcPr>
          <w:p>
            <w:r>
              <w:rPr>
                <w:rFonts w:ascii="Arial" w:cs="Arial" w:eastAsia="Arial" w:hAnsi="Arial"/>
                <w:sz w:val="20"/>
                <w:szCs w:val="20"/>
              </w:rPr>
              <w:t xml:space="preserve">160 %</w:t>
            </w:r>
          </w:p>
        </w:tc>
        <w:tc>
          <w:tcPr>
            <w:tcW w:type="dxa" w:w="312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00"/>
            </w:tcMar>
          </w:tcPr>
          <w:p>
            <w:r>
              <w:rPr>
                <w:rFonts w:ascii="Arial" w:cs="Arial" w:eastAsia="Arial" w:hAnsi="Arial"/>
                <w:sz w:val="20"/>
                <w:szCs w:val="20"/>
              </w:rPr>
              <w:t xml:space="preserve">Deutlicher Überschuss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b/>
                <w:bCs/>
                <w:sz w:val="20"/>
                <w:szCs w:val="20"/>
              </w:rPr>
              <w:t xml:space="preserve">Sachsen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56 %</w:t>
            </w:r>
          </w:p>
        </w:tc>
        <w:tc>
          <w:tcPr>
            <w:tcW w:type="dxa" w:w="312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Noch Ausbaupotenzial</w:t>
            </w:r>
          </w:p>
        </w:tc>
      </w:tr>
    </w:tbl>
    <w:p>
      <w:pPr>
        <w:spacing w:after="80" w:before="80"/>
      </w:pPr>
      <w:r>
        <w:t xml:space="preserve"/>
      </w:r>
    </w:p>
    <w:p>
      <w:pPr>
        <w:spacing w:after="80" w:before="60"/>
        <w:jc w:val="both"/>
      </w:pPr>
      <w:r>
        <w:rPr>
          <w:rFonts w:ascii="Arial" w:cs="Arial" w:eastAsia="Arial" w:hAnsi="Arial"/>
          <w:sz w:val="22"/>
          <w:szCs w:val="22"/>
        </w:rPr>
        <w:t xml:space="preserve">Der Netzentwicklungsplan und die strategische Positionierung von Speichern (an Erzeugung oder Verbrauch) sollte nicht dem Zufall überlassen werden. Eine koordinierte, systemische Planung wird als notwendig erachtet. Ob Netzbetreiber das alleine festlegen oder eine höhere Koordinationsebene benötigt wird, bleibt offen.</w:t>
      </w:r>
    </w:p>
    <w:p>
      <w:pPr>
        <w:spacing w:after="80" w:before="80"/>
      </w:pPr>
      <w:r>
        <w:t xml:space="preserve"/>
      </w:r>
    </w:p>
    <w:p>
      <w:r>
        <w:br w:type="page"/>
      </w:r>
    </w:p>
    <w:p>
      <w:pPr>
        <w:pStyle w:val="Heading1"/>
        <w:pBdr>
          <w:bottom w:val="single" w:color="1F5C99" w:sz="8" w:space="4"/>
        </w:pBdr>
        <w:spacing w:after="160" w:before="360"/>
      </w:pPr>
      <w:r>
        <w:rPr>
          <w:rFonts w:ascii="Arial" w:cs="Arial" w:eastAsia="Arial" w:hAnsi="Arial"/>
          <w:b/>
          <w:bCs/>
          <w:color w:val="1F5C99"/>
          <w:sz w:val="28"/>
          <w:szCs w:val="28"/>
        </w:rPr>
        <w:t xml:space="preserve">4. Kernaussagen &amp; Handlungsempfehlungen</w:t>
      </w:r>
    </w:p>
    <w:p>
      <w:pPr>
        <w:pStyle w:val="Heading2"/>
        <w:spacing w:after="100" w:before="280"/>
      </w:pPr>
      <w:r>
        <w:rPr>
          <w:rFonts w:ascii="Arial" w:cs="Arial" w:eastAsia="Arial" w:hAnsi="Arial"/>
          <w:b/>
          <w:bCs/>
          <w:color w:val="2C3E50"/>
          <w:sz w:val="24"/>
          <w:szCs w:val="24"/>
        </w:rPr>
        <w:t xml:space="preserve">4.1 Konsens des Abends</w:t>
      </w:r>
    </w:p>
    <w:p>
      <w:pPr>
        <w:pStyle w:val="ListParagraph"/>
        <w:numPr>
          <w:ilvl w:val="0"/>
          <w:numId w:val="2"/>
        </w:numPr>
        <w:spacing w:after="60" w:before="40"/>
      </w:pPr>
      <w:r>
        <w:rPr>
          <w:rFonts w:ascii="Arial" w:cs="Arial" w:eastAsia="Arial" w:hAnsi="Arial"/>
          <w:sz w:val="22"/>
          <w:szCs w:val="22"/>
        </w:rPr>
        <w:t xml:space="preserve">Wasserstoff bleibt teurer als fossile Alternative – ein CO₂-Preis von 200–300 €/t ist notwendig, um wirtschaftliche Anreize zu schaffen.</w:t>
      </w:r>
    </w:p>
    <w:p>
      <w:pPr>
        <w:pStyle w:val="ListParagraph"/>
        <w:numPr>
          <w:ilvl w:val="0"/>
          <w:numId w:val="2"/>
        </w:numPr>
        <w:spacing w:after="60" w:before="40"/>
      </w:pPr>
      <w:r>
        <w:rPr>
          <w:rFonts w:ascii="Arial" w:cs="Arial" w:eastAsia="Arial" w:hAnsi="Arial"/>
          <w:sz w:val="22"/>
          <w:szCs w:val="22"/>
        </w:rPr>
        <w:t xml:space="preserve">Speicher müssen vor allem günstig sein – der Paradigmenwechsel von der Technologie- zur Kostenoptimierung ist vollzogen.</w:t>
      </w:r>
    </w:p>
    <w:p>
      <w:pPr>
        <w:pStyle w:val="ListParagraph"/>
        <w:numPr>
          <w:ilvl w:val="0"/>
          <w:numId w:val="2"/>
        </w:numPr>
        <w:spacing w:after="60" w:before="40"/>
      </w:pPr>
      <w:r>
        <w:rPr>
          <w:rFonts w:ascii="Arial" w:cs="Arial" w:eastAsia="Arial" w:hAnsi="Arial"/>
          <w:sz w:val="22"/>
          <w:szCs w:val="22"/>
        </w:rPr>
        <w:t xml:space="preserve">Energie muss dort erzeugt werden, wo sie verbraucht wird – Netzausbau hat Grenzen.</w:t>
      </w:r>
    </w:p>
    <w:p>
      <w:pPr>
        <w:pStyle w:val="ListParagraph"/>
        <w:numPr>
          <w:ilvl w:val="0"/>
          <w:numId w:val="2"/>
        </w:numPr>
        <w:spacing w:after="60" w:before="40"/>
      </w:pPr>
      <w:r>
        <w:rPr>
          <w:rFonts w:ascii="Arial" w:cs="Arial" w:eastAsia="Arial" w:hAnsi="Arial"/>
          <w:sz w:val="22"/>
          <w:szCs w:val="22"/>
        </w:rPr>
        <w:t xml:space="preserve">Industriestandorte sind als neue Windkraft-Standorte ernstzunehmen (Höhenwindrad, Stahlwerk Salzgitter als Vorbild).</w:t>
      </w:r>
    </w:p>
    <w:p>
      <w:pPr>
        <w:pStyle w:val="ListParagraph"/>
        <w:numPr>
          <w:ilvl w:val="0"/>
          <w:numId w:val="2"/>
        </w:numPr>
        <w:spacing w:after="60" w:before="40"/>
      </w:pPr>
      <w:r>
        <w:rPr>
          <w:rFonts w:ascii="Arial" w:cs="Arial" w:eastAsia="Arial" w:hAnsi="Arial"/>
          <w:sz w:val="22"/>
          <w:szCs w:val="22"/>
        </w:rPr>
        <w:t xml:space="preserve">CO₂- und Wasserstoffnetz sind komplementär, kein Entweder-oder.</w:t>
      </w:r>
    </w:p>
    <w:p>
      <w:pPr>
        <w:pStyle w:val="ListParagraph"/>
        <w:numPr>
          <w:ilvl w:val="0"/>
          <w:numId w:val="2"/>
        </w:numPr>
        <w:spacing w:after="60" w:before="40"/>
      </w:pPr>
      <w:r>
        <w:rPr>
          <w:rFonts w:ascii="Arial" w:cs="Arial" w:eastAsia="Arial" w:hAnsi="Arial"/>
          <w:sz w:val="22"/>
          <w:szCs w:val="22"/>
        </w:rPr>
        <w:t xml:space="preserve">Europäische Zusammenarbeit (nicht globaler Protektionismus) ist der richtige Resilienzansatz.</w:t>
      </w:r>
    </w:p>
    <w:p>
      <w:pPr>
        <w:spacing w:after="80" w:before="80"/>
      </w:pPr>
      <w:r>
        <w:t xml:space="preserve"/>
      </w:r>
    </w:p>
    <w:p>
      <w:pPr>
        <w:pStyle w:val="Heading2"/>
        <w:spacing w:after="100" w:before="280"/>
      </w:pPr>
      <w:r>
        <w:rPr>
          <w:rFonts w:ascii="Arial" w:cs="Arial" w:eastAsia="Arial" w:hAnsi="Arial"/>
          <w:b/>
          <w:bCs/>
          <w:color w:val="2C3E50"/>
          <w:sz w:val="24"/>
          <w:szCs w:val="24"/>
        </w:rPr>
        <w:t xml:space="preserve">4.2 Abschließende Punkte des Moderators</w:t>
      </w:r>
    </w:p>
    <w:p>
      <w:pPr>
        <w:pStyle w:val="ListParagraph"/>
        <w:numPr>
          <w:ilvl w:val="0"/>
          <w:numId w:val="2"/>
        </w:numPr>
        <w:spacing w:after="60" w:before="40"/>
      </w:pPr>
      <w:r>
        <w:rPr>
          <w:rFonts w:ascii="Arial" w:cs="Arial" w:eastAsia="Arial" w:hAnsi="Arial"/>
          <w:sz w:val="22"/>
          <w:szCs w:val="22"/>
        </w:rPr>
        <w:t xml:space="preserve">Netze / Speicher möglicherweise (teilweise) verstaatlichen, um Investitionen voranzutreiben.</w:t>
      </w:r>
    </w:p>
    <w:p>
      <w:pPr>
        <w:pStyle w:val="ListParagraph"/>
        <w:numPr>
          <w:ilvl w:val="0"/>
          <w:numId w:val="2"/>
        </w:numPr>
        <w:spacing w:after="60" w:before="40"/>
      </w:pPr>
      <w:r>
        <w:rPr>
          <w:rFonts w:ascii="Arial" w:cs="Arial" w:eastAsia="Arial" w:hAnsi="Arial"/>
          <w:sz w:val="22"/>
          <w:szCs w:val="22"/>
        </w:rPr>
        <w:t xml:space="preserve">Standortwahl für Windkraftanlagen flexibler gestalten – mehr Mut bei unkonventionellen Standorten.</w:t>
      </w:r>
    </w:p>
    <w:p>
      <w:pPr>
        <w:pStyle w:val="ListParagraph"/>
        <w:numPr>
          <w:ilvl w:val="0"/>
          <w:numId w:val="2"/>
        </w:numPr>
        <w:spacing w:after="60" w:before="40"/>
      </w:pPr>
      <w:r>
        <w:rPr>
          <w:rFonts w:ascii="Arial" w:cs="Arial" w:eastAsia="Arial" w:hAnsi="Arial"/>
          <w:sz w:val="22"/>
          <w:szCs w:val="22"/>
        </w:rPr>
        <w:t xml:space="preserve">Pflicht zur Speicherintegration bei neuen erneuerbaren Energieprojekten einführen.</w:t>
      </w:r>
    </w:p>
    <w:p>
      <w:pPr>
        <w:spacing w:after="80" w:before="80"/>
      </w:pPr>
      <w:r>
        <w:t xml:space="preserve"/>
      </w:r>
    </w:p>
    <w:p>
      <w:pPr>
        <w:pStyle w:val="Heading2"/>
        <w:spacing w:after="100" w:before="280"/>
      </w:pPr>
      <w:r>
        <w:rPr>
          <w:rFonts w:ascii="Arial" w:cs="Arial" w:eastAsia="Arial" w:hAnsi="Arial"/>
          <w:b/>
          <w:bCs/>
          <w:color w:val="2C3E50"/>
          <w:sz w:val="24"/>
          <w:szCs w:val="24"/>
        </w:rPr>
        <w:t xml:space="preserve">4.3 Offene Fragen</w:t>
      </w:r>
    </w:p>
    <w:p>
      <w:pPr>
        <w:pStyle w:val="ListParagraph"/>
        <w:numPr>
          <w:ilvl w:val="0"/>
          <w:numId w:val="2"/>
        </w:numPr>
        <w:spacing w:after="60" w:before="40"/>
      </w:pPr>
      <w:r>
        <w:rPr>
          <w:rFonts w:ascii="Arial" w:cs="Arial" w:eastAsia="Arial" w:hAnsi="Arial"/>
          <w:sz w:val="22"/>
          <w:szCs w:val="22"/>
        </w:rPr>
        <w:t xml:space="preserve">Wie wird das Hühner-Ei-Problem bei der Wasserstoffinfrastruktur gelöst (erster Abnehmer, erster Anbieter)?</w:t>
      </w:r>
    </w:p>
    <w:p>
      <w:pPr>
        <w:pStyle w:val="ListParagraph"/>
        <w:numPr>
          <w:ilvl w:val="0"/>
          <w:numId w:val="2"/>
        </w:numPr>
        <w:spacing w:after="60" w:before="40"/>
      </w:pPr>
      <w:r>
        <w:rPr>
          <w:rFonts w:ascii="Arial" w:cs="Arial" w:eastAsia="Arial" w:hAnsi="Arial"/>
          <w:sz w:val="22"/>
          <w:szCs w:val="22"/>
        </w:rPr>
        <w:t xml:space="preserve">Welche Rolle übernimmt der Staat bei der Infrastrukturfinanzierung?</w:t>
      </w:r>
    </w:p>
    <w:p>
      <w:pPr>
        <w:pStyle w:val="ListParagraph"/>
        <w:numPr>
          <w:ilvl w:val="0"/>
          <w:numId w:val="2"/>
        </w:numPr>
        <w:spacing w:after="60" w:before="40"/>
      </w:pPr>
      <w:r>
        <w:rPr>
          <w:rFonts w:ascii="Arial" w:cs="Arial" w:eastAsia="Arial" w:hAnsi="Arial"/>
          <w:sz w:val="22"/>
          <w:szCs w:val="22"/>
        </w:rPr>
        <w:t xml:space="preserve">Wie werden 3.000+ Arbeitsplätze im energieintensiven Bereich bei der Transformation mitgenommen?</w:t>
      </w:r>
    </w:p>
    <w:p>
      <w:pPr>
        <w:pStyle w:val="ListParagraph"/>
        <w:numPr>
          <w:ilvl w:val="0"/>
          <w:numId w:val="2"/>
        </w:numPr>
        <w:spacing w:after="60" w:before="40"/>
      </w:pPr>
      <w:r>
        <w:rPr>
          <w:rFonts w:ascii="Arial" w:cs="Arial" w:eastAsia="Arial" w:hAnsi="Arial"/>
          <w:sz w:val="22"/>
          <w:szCs w:val="22"/>
        </w:rPr>
        <w:t xml:space="preserve">Ist eine detailliertere regionale Modellierung (z.B. für Mitteldeutschland) möglich und sinnvoll?</w:t>
      </w:r>
    </w:p>
    <w:p>
      <w:pPr>
        <w:spacing w:after="80" w:before="80"/>
      </w:pPr>
      <w:r>
        <w:t xml:space="preserve"/>
      </w:r>
    </w:p>
    <w:p>
      <w:r>
        <w:br w:type="page"/>
      </w:r>
    </w:p>
    <w:p>
      <w:pPr>
        <w:pStyle w:val="Heading1"/>
        <w:pBdr>
          <w:bottom w:val="single" w:color="1F5C99" w:sz="8" w:space="4"/>
        </w:pBdr>
        <w:spacing w:after="160" w:before="360"/>
      </w:pPr>
      <w:r>
        <w:rPr>
          <w:rFonts w:ascii="Arial" w:cs="Arial" w:eastAsia="Arial" w:hAnsi="Arial"/>
          <w:b/>
          <w:bCs/>
          <w:color w:val="1F5C99"/>
          <w:sz w:val="28"/>
          <w:szCs w:val="28"/>
        </w:rPr>
        <w:t xml:space="preserve">5. Nächste Schritte &amp; Folgetermine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680"/>
        <w:gridCol w:w="2680"/>
      </w:tblGrid>
      <w:tr>
        <w:tc>
          <w:tcPr>
            <w:tcW w:type="dxa" w:w="3000"/>
            <w:tcBorders>
              <w:top w:val="single" w:color="CCCCCC" w:sz="1"/>
              <w:left w:val="single" w:color="CCCCCC" w:sz="1"/>
              <w:bottom w:val="single" w:color="CCCCCC" w:sz="1"/>
              <w:right w:val="single" w:color="CCCCCC" w:sz="1"/>
            </w:tcBorders>
            <w:shd w:fill="1F5C99" w:val="clear"/>
            <w:tcMar>
              <w:top w:type="dxa" w:w="80"/>
              <w:left w:type="dxa" w:w="140"/>
              <w:bottom w:type="dxa" w:w="80"/>
              <w:right w:type="dxa" w:w="100"/>
            </w:tcMar>
          </w:tcPr>
          <w:p>
            <w:r>
              <w:rPr>
                <w:rFonts w:ascii="Arial" w:cs="Arial" w:eastAsia="Arial" w:hAnsi="Arial"/>
                <w:b/>
                <w:bCs/>
                <w:color w:val="FFFFFF"/>
                <w:sz w:val="20"/>
                <w:szCs w:val="20"/>
              </w:rPr>
              <w:t xml:space="preserve">Thema / Maßnahme</w:t>
            </w:r>
          </w:p>
        </w:tc>
        <w:tc>
          <w:tcPr>
            <w:tcW w:type="dxa" w:w="3680"/>
            <w:tcBorders>
              <w:top w:val="single" w:color="CCCCCC" w:sz="1"/>
              <w:left w:val="single" w:color="CCCCCC" w:sz="1"/>
              <w:bottom w:val="single" w:color="CCCCCC" w:sz="1"/>
              <w:right w:val="single" w:color="CCCCCC" w:sz="1"/>
            </w:tcBorders>
            <w:shd w:fill="1F5C99" w:val="clear"/>
            <w:tcMar>
              <w:top w:type="dxa" w:w="80"/>
              <w:left w:type="dxa" w:w="140"/>
              <w:bottom w:type="dxa" w:w="80"/>
              <w:right w:type="dxa" w:w="100"/>
            </w:tcMar>
          </w:tcPr>
          <w:p>
            <w:r>
              <w:rPr>
                <w:rFonts w:ascii="Arial" w:cs="Arial" w:eastAsia="Arial" w:hAnsi="Arial"/>
                <w:b/>
                <w:bCs/>
                <w:color w:val="FFFFFF"/>
                <w:sz w:val="20"/>
                <w:szCs w:val="20"/>
              </w:rPr>
              <w:t xml:space="preserve">Details</w:t>
            </w:r>
          </w:p>
        </w:tc>
        <w:tc>
          <w:tcPr>
            <w:tcW w:type="dxa" w:w="2680"/>
            <w:tcBorders>
              <w:top w:val="single" w:color="CCCCCC" w:sz="1"/>
              <w:left w:val="single" w:color="CCCCCC" w:sz="1"/>
              <w:bottom w:val="single" w:color="CCCCCC" w:sz="1"/>
              <w:right w:val="single" w:color="CCCCCC" w:sz="1"/>
            </w:tcBorders>
            <w:shd w:fill="1F5C99" w:val="clear"/>
            <w:tcMar>
              <w:top w:type="dxa" w:w="80"/>
              <w:left w:type="dxa" w:w="140"/>
              <w:bottom w:type="dxa" w:w="80"/>
              <w:right w:type="dxa" w:w="100"/>
            </w:tcMar>
          </w:tcPr>
          <w:p>
            <w:r>
              <w:rPr>
                <w:rFonts w:ascii="Arial" w:cs="Arial" w:eastAsia="Arial" w:hAnsi="Arial"/>
                <w:b/>
                <w:bCs/>
                <w:color w:val="FFFFFF"/>
                <w:sz w:val="20"/>
                <w:szCs w:val="20"/>
              </w:rPr>
              <w:t xml:space="preserve">Termin / Zuständigkeit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b/>
                <w:bCs/>
                <w:sz w:val="20"/>
                <w:szCs w:val="20"/>
              </w:rPr>
              <w:t xml:space="preserve">Nächste Veranstaltung</w:t>
            </w:r>
          </w:p>
        </w:tc>
        <w:tc>
          <w:tcPr>
            <w:tcW w:type="dxa" w:w="36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Grüne Chemie – gleiches Format, gleicher Standort</w:t>
            </w:r>
          </w:p>
        </w:tc>
        <w:tc>
          <w:tcPr>
            <w:tcW w:type="dxa" w:w="26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21. Mai 2026</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00"/>
            </w:tcMar>
          </w:tcPr>
          <w:p>
            <w:r>
              <w:rPr>
                <w:rFonts w:ascii="Arial" w:cs="Arial" w:eastAsia="Arial" w:hAnsi="Arial"/>
                <w:b/>
                <w:bCs/>
                <w:sz w:val="20"/>
                <w:szCs w:val="20"/>
              </w:rPr>
              <w:t xml:space="preserve">Höhenwindrad Lausitz</w:t>
            </w:r>
          </w:p>
        </w:tc>
        <w:tc>
          <w:tcPr>
            <w:tcW w:type="dxa" w:w="36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00"/>
            </w:tcMar>
          </w:tcPr>
          <w:p>
            <w:r>
              <w:rPr>
                <w:rFonts w:ascii="Arial" w:cs="Arial" w:eastAsia="Arial" w:hAnsi="Arial"/>
                <w:sz w:val="20"/>
                <w:szCs w:val="20"/>
              </w:rPr>
              <w:t xml:space="preserve">Aufsetzen der zweiten Etage (90 m)</w:t>
            </w:r>
          </w:p>
        </w:tc>
        <w:tc>
          <w:tcPr>
            <w:tcW w:type="dxa" w:w="26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00"/>
            </w:tcMar>
          </w:tcPr>
          <w:p>
            <w:r>
              <w:rPr>
                <w:rFonts w:ascii="Arial" w:cs="Arial" w:eastAsia="Arial" w:hAnsi="Arial"/>
                <w:sz w:val="20"/>
                <w:szCs w:val="20"/>
              </w:rPr>
              <w:t xml:space="preserve">Mitte Mai 2026 (SPRIND)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b/>
                <w:bCs/>
                <w:sz w:val="20"/>
                <w:szCs w:val="20"/>
              </w:rPr>
              <w:t xml:space="preserve">Netzentwicklungsplan Hamburg</w:t>
            </w:r>
          </w:p>
        </w:tc>
        <w:tc>
          <w:tcPr>
            <w:tcW w:type="dxa" w:w="36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Erster koordinierter Gasverbund-Netzentwicklungsplan veröffentlichen</w:t>
            </w:r>
          </w:p>
        </w:tc>
        <w:tc>
          <w:tcPr>
            <w:tcW w:type="dxa" w:w="26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Nach Sommerferien 2026</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00"/>
            </w:tcMar>
          </w:tcPr>
          <w:p>
            <w:r>
              <w:rPr>
                <w:rFonts w:ascii="Arial" w:cs="Arial" w:eastAsia="Arial" w:hAnsi="Arial"/>
                <w:b/>
                <w:bCs/>
                <w:sz w:val="20"/>
                <w:szCs w:val="20"/>
              </w:rPr>
              <w:t xml:space="preserve">CCUS-Initiative Ostdeutschland</w:t>
            </w:r>
          </w:p>
        </w:tc>
        <w:tc>
          <w:tcPr>
            <w:tcW w:type="dxa" w:w="36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00"/>
            </w:tcMar>
          </w:tcPr>
          <w:p>
            <w:r>
              <w:rPr>
                <w:rFonts w:ascii="Arial" w:cs="Arial" w:eastAsia="Arial" w:hAnsi="Arial"/>
                <w:sz w:val="20"/>
                <w:szCs w:val="20"/>
              </w:rPr>
              <w:t xml:space="preserve">Aktivitäten beschleunigen, Austausch mit Nordwestdeutschland</w:t>
            </w:r>
          </w:p>
        </w:tc>
        <w:tc>
          <w:tcPr>
            <w:tcW w:type="dxa" w:w="26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00"/>
            </w:tcMar>
          </w:tcPr>
          <w:p>
            <w:r>
              <w:rPr>
                <w:rFonts w:ascii="Arial" w:cs="Arial" w:eastAsia="Arial" w:hAnsi="Arial"/>
                <w:sz w:val="20"/>
                <w:szCs w:val="20"/>
              </w:rPr>
              <w:t xml:space="preserve">Laufend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b/>
                <w:bCs/>
                <w:sz w:val="20"/>
                <w:szCs w:val="20"/>
              </w:rPr>
              <w:t xml:space="preserve">Wasserstoffprojekte Lausitz</w:t>
            </w:r>
          </w:p>
        </w:tc>
        <w:tc>
          <w:tcPr>
            <w:tcW w:type="dxa" w:w="36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Klärung Finanzierung und Netzanschluss (Projekt liegt vor)</w:t>
            </w:r>
          </w:p>
        </w:tc>
        <w:tc>
          <w:tcPr>
            <w:tcW w:type="dxa" w:w="26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sz w:val="20"/>
                <w:szCs w:val="20"/>
              </w:rPr>
              <w:t xml:space="preserve">2026–2028</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00"/>
            </w:tcMar>
          </w:tcPr>
          <w:p>
            <w:r>
              <w:rPr>
                <w:rFonts w:ascii="Arial" w:cs="Arial" w:eastAsia="Arial" w:hAnsi="Arial"/>
                <w:b/>
                <w:bCs/>
                <w:sz w:val="20"/>
                <w:szCs w:val="20"/>
              </w:rPr>
              <w:t xml:space="preserve">Bitkraftwerk-Konzept</w:t>
            </w:r>
          </w:p>
        </w:tc>
        <w:tc>
          <w:tcPr>
            <w:tcW w:type="dxa" w:w="36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00"/>
            </w:tcMar>
          </w:tcPr>
          <w:p>
            <w:r>
              <w:rPr>
                <w:rFonts w:ascii="Arial" w:cs="Arial" w:eastAsia="Arial" w:hAnsi="Arial"/>
                <w:sz w:val="20"/>
                <w:szCs w:val="20"/>
              </w:rPr>
              <w:t xml:space="preserve">Prüfung eines gemeinsamen Pilotprojekts (lokal, vor Ort)</w:t>
            </w:r>
          </w:p>
        </w:tc>
        <w:tc>
          <w:tcPr>
            <w:tcW w:type="dxa" w:w="26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00"/>
            </w:tcMar>
          </w:tcPr>
          <w:p>
            <w:r>
              <w:rPr>
                <w:rFonts w:ascii="Arial" w:cs="Arial" w:eastAsia="Arial" w:hAnsi="Arial"/>
                <w:sz w:val="20"/>
                <w:szCs w:val="20"/>
              </w:rPr>
              <w:t xml:space="preserve">In Planung</w:t>
            </w:r>
          </w:p>
        </w:tc>
      </w:tr>
    </w:tbl>
    <w:p>
      <w:pPr>
        <w:spacing w:after="80" w:before="80"/>
      </w:pPr>
      <w:r>
        <w:t xml:space="preserve"/>
      </w:r>
    </w:p>
    <w:p>
      <w:pPr>
        <w:spacing w:after="80" w:before="80"/>
      </w:pPr>
      <w:r>
        <w:t xml:space="preserve"/>
      </w:r>
    </w:p>
    <w:p>
      <w:pPr>
        <w:spacing w:before="400"/>
        <w:jc w:val="center"/>
      </w:pPr>
      <w:r>
        <w:rPr>
          <w:rFonts w:ascii="Arial" w:cs="Arial" w:eastAsia="Arial" w:hAnsi="Arial"/>
          <w:i/>
          <w:iCs/>
          <w:color w:val="888888"/>
          <w:sz w:val="18"/>
          <w:szCs w:val="18"/>
        </w:rPr>
        <w:t xml:space="preserve">Protokoll erstellt mit Unterstützung von Claude (Anthropic) | Namen verifiziert: Dr. Martin Chaumet (sprind.org), Jörn-Heinrich Tobaben (mitteldeutschland.com), Dr. Fabian Neumann (fneum.org), ONTRAS (ontras.com) | April 2026</w:t>
      </w:r>
    </w:p>
    <w:sectPr>
      <w:pgSz w:w="11906" w:h="16838" w:orient="portrait"/>
      <w:pgMar w:top="1200" w:right="120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5C99"/>
      <w:sz w:val="28"/>
      <w:szCs w:val="28"/>
    </w:rPr>
  </w:style>
  <w:style w:type="paragraph" w:styleId="Heading2">
    <w:name w:val="Heading 2"/>
    <w:basedOn w:val="Normal"/>
    <w:next w:val="Normal"/>
    <w:qFormat/>
    <w:pPr>
      <w:spacing w:after="100" w:before="280"/>
      <w:outlineLvl w:val="1"/>
    </w:pPr>
    <w:rPr>
      <w:rFonts w:ascii="Arial" w:cs="Arial" w:eastAsia="Arial" w:hAnsi="Arial"/>
      <w:b/>
      <w:bCs/>
      <w:color w:val="2C3E5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2026-04-24T05:00:14.354Z</dcterms:created>
  <dcterms:modified xsi:type="dcterms:W3CDTF">2026-04-24T05:00:14.354Z</dcterms:modified>
</cp:coreProperties>
</file>

<file path=docProps/custom.xml><?xml version="1.0" encoding="utf-8"?>
<Properties xmlns="http://schemas.openxmlformats.org/officeDocument/2006/custom-properties" xmlns:vt="http://schemas.openxmlformats.org/officeDocument/2006/docPropsVTypes"/>
</file>